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18" w:rsidRPr="000B298B" w:rsidRDefault="00D27718" w:rsidP="00D27718">
      <w:pPr>
        <w:rPr>
          <w:b/>
        </w:rPr>
      </w:pPr>
      <w:r w:rsidRPr="000B298B">
        <w:rPr>
          <w:b/>
        </w:rPr>
        <w:t>Poveznice za različite načine citiranja:</w:t>
      </w:r>
    </w:p>
    <w:p w:rsidR="00D27718" w:rsidRPr="000B298B" w:rsidRDefault="00D27718" w:rsidP="00D27718">
      <w:pPr>
        <w:ind w:left="720"/>
      </w:pPr>
    </w:p>
    <w:p w:rsidR="00D27718" w:rsidRPr="000B298B" w:rsidRDefault="00D27718" w:rsidP="00D27718">
      <w:pPr>
        <w:numPr>
          <w:ilvl w:val="0"/>
          <w:numId w:val="1"/>
        </w:numPr>
        <w:spacing w:after="160" w:line="259" w:lineRule="auto"/>
      </w:pPr>
      <w:r w:rsidRPr="000B298B">
        <w:t>Najčešće načine citiranja ovdje stavljamo s poveznicama zbog ekonomičnosti</w:t>
      </w:r>
    </w:p>
    <w:p w:rsidR="00D27718" w:rsidRPr="000B298B" w:rsidRDefault="00D27718" w:rsidP="00D27718">
      <w:pPr>
        <w:numPr>
          <w:ilvl w:val="0"/>
          <w:numId w:val="1"/>
        </w:numPr>
        <w:spacing w:after="160" w:line="259" w:lineRule="auto"/>
      </w:pPr>
      <w:r w:rsidRPr="000B298B">
        <w:t>Najčešći načini citiranja i poveznice za upoznavanje:</w:t>
      </w:r>
    </w:p>
    <w:p w:rsidR="00D27718" w:rsidRPr="000B298B" w:rsidRDefault="00D27718" w:rsidP="00D27718">
      <w:pPr>
        <w:numPr>
          <w:ilvl w:val="0"/>
          <w:numId w:val="1"/>
        </w:numPr>
        <w:spacing w:after="160" w:line="259" w:lineRule="auto"/>
      </w:pPr>
      <w:r w:rsidRPr="000B298B">
        <w:t xml:space="preserve">1) MLA (Modern Language Association)- </w:t>
      </w:r>
      <w:hyperlink r:id="rId7" w:history="1">
        <w:r w:rsidRPr="000B298B">
          <w:rPr>
            <w:rStyle w:val="Hiperveza"/>
          </w:rPr>
          <w:t>https://</w:t>
        </w:r>
      </w:hyperlink>
      <w:hyperlink r:id="rId8" w:history="1">
        <w:r w:rsidRPr="000B298B">
          <w:rPr>
            <w:rStyle w:val="Hiperveza"/>
          </w:rPr>
          <w:t>owl.purdue.edu/owl/research_and_citation/mla_style/mla_formatting_and_style_guide/mla_general_format.html</w:t>
        </w:r>
      </w:hyperlink>
      <w:r w:rsidRPr="000B298B">
        <w:t xml:space="preserve"> </w:t>
      </w:r>
    </w:p>
    <w:p w:rsidR="00D27718" w:rsidRPr="000B298B" w:rsidRDefault="00D27718" w:rsidP="00D27718">
      <w:pPr>
        <w:numPr>
          <w:ilvl w:val="0"/>
          <w:numId w:val="1"/>
        </w:numPr>
        <w:spacing w:after="160" w:line="259" w:lineRule="auto"/>
      </w:pPr>
      <w:r w:rsidRPr="000B298B">
        <w:t xml:space="preserve">2) Chicago Style </w:t>
      </w:r>
      <w:hyperlink r:id="rId9" w:history="1">
        <w:r w:rsidRPr="000B298B">
          <w:rPr>
            <w:rStyle w:val="Hiperveza"/>
          </w:rPr>
          <w:t>https://owl.purdue.edu/owl/research_and_citation/chicago_manual_17th_edition/cmos_formatting_and_style_guide/general_format.html</w:t>
        </w:r>
      </w:hyperlink>
    </w:p>
    <w:p w:rsidR="00D27718" w:rsidRPr="000B298B" w:rsidRDefault="00D27718" w:rsidP="00D27718">
      <w:pPr>
        <w:numPr>
          <w:ilvl w:val="0"/>
          <w:numId w:val="1"/>
        </w:numPr>
        <w:spacing w:after="160" w:line="259" w:lineRule="auto"/>
      </w:pPr>
      <w:r w:rsidRPr="000B298B">
        <w:t xml:space="preserve">3) APA Style (American Psychological Association) - </w:t>
      </w:r>
      <w:hyperlink r:id="rId10" w:history="1">
        <w:r w:rsidRPr="000B298B">
          <w:rPr>
            <w:rStyle w:val="Hiperveza"/>
          </w:rPr>
          <w:t>https://</w:t>
        </w:r>
      </w:hyperlink>
      <w:hyperlink r:id="rId11" w:history="1">
        <w:r w:rsidRPr="000B298B">
          <w:rPr>
            <w:rStyle w:val="Hiperveza"/>
          </w:rPr>
          <w:t>owl.purdue.edu/owl/research_and_citation/apa6_style/apa_formatting_and_style_guide/general_format.html</w:t>
        </w:r>
      </w:hyperlink>
    </w:p>
    <w:p w:rsidR="00D27718" w:rsidRPr="000B298B" w:rsidRDefault="00D27718" w:rsidP="00D27718">
      <w:pPr>
        <w:numPr>
          <w:ilvl w:val="0"/>
          <w:numId w:val="1"/>
        </w:numPr>
        <w:spacing w:after="160" w:line="259" w:lineRule="auto"/>
      </w:pPr>
      <w:r w:rsidRPr="000B298B">
        <w:t xml:space="preserve">4) AMS (American Mathematical Society) - </w:t>
      </w:r>
      <w:hyperlink r:id="rId12" w:history="1">
        <w:r w:rsidRPr="000B298B">
          <w:rPr>
            <w:rStyle w:val="Hiperveza"/>
          </w:rPr>
          <w:t>https://ms.mcmaster.ca/~vantuyl/courses/LibrarySlides_1.pdf</w:t>
        </w:r>
      </w:hyperlink>
    </w:p>
    <w:p w:rsidR="00D27718" w:rsidRPr="000B298B" w:rsidRDefault="00D27718" w:rsidP="00D27718">
      <w:pPr>
        <w:numPr>
          <w:ilvl w:val="0"/>
          <w:numId w:val="1"/>
        </w:numPr>
        <w:spacing w:after="160" w:line="259" w:lineRule="auto"/>
      </w:pPr>
      <w:r w:rsidRPr="000B298B">
        <w:t xml:space="preserve">5) Harvard Style - </w:t>
      </w:r>
      <w:hyperlink r:id="rId13" w:history="1">
        <w:r w:rsidRPr="000B298B">
          <w:rPr>
            <w:rStyle w:val="Hiperveza"/>
          </w:rPr>
          <w:t>https://</w:t>
        </w:r>
      </w:hyperlink>
      <w:hyperlink r:id="rId14" w:history="1">
        <w:r w:rsidRPr="000B298B">
          <w:rPr>
            <w:rStyle w:val="Hiperveza"/>
          </w:rPr>
          <w:t>www.mendeley.com/guides/harvard-citation-guide</w:t>
        </w:r>
      </w:hyperlink>
    </w:p>
    <w:p w:rsidR="00D27718" w:rsidRDefault="00D27718" w:rsidP="00D27718">
      <w:pPr>
        <w:numPr>
          <w:ilvl w:val="0"/>
          <w:numId w:val="1"/>
        </w:numPr>
        <w:spacing w:after="160" w:line="259" w:lineRule="auto"/>
      </w:pPr>
      <w:r w:rsidRPr="000B298B">
        <w:t xml:space="preserve">6) Oxford Style - </w:t>
      </w:r>
      <w:hyperlink r:id="rId15" w:history="1">
        <w:r w:rsidRPr="000B298B">
          <w:rPr>
            <w:rStyle w:val="Hiperveza"/>
          </w:rPr>
          <w:t>https://penmypaper.com/referencing-styles/oxford-referencing-style</w:t>
        </w:r>
      </w:hyperlink>
    </w:p>
    <w:p w:rsidR="00D27718" w:rsidRDefault="00D27718" w:rsidP="008709AD">
      <w:pPr>
        <w:spacing w:line="360" w:lineRule="auto"/>
        <w:jc w:val="both"/>
        <w:rPr>
          <w:b/>
          <w:bCs/>
          <w:lang w:val="hr-HR"/>
        </w:rPr>
      </w:pPr>
      <w:bookmarkStart w:id="0" w:name="_GoBack"/>
      <w:bookmarkEnd w:id="0"/>
    </w:p>
    <w:p w:rsidR="00D27718" w:rsidRDefault="00D27718" w:rsidP="008709AD">
      <w:pPr>
        <w:spacing w:line="360" w:lineRule="auto"/>
        <w:jc w:val="both"/>
        <w:rPr>
          <w:b/>
          <w:bCs/>
          <w:lang w:val="hr-HR"/>
        </w:rPr>
      </w:pPr>
    </w:p>
    <w:p w:rsidR="008709AD" w:rsidRPr="008709AD" w:rsidRDefault="008709AD" w:rsidP="008709AD">
      <w:pPr>
        <w:spacing w:line="360" w:lineRule="auto"/>
        <w:jc w:val="both"/>
        <w:rPr>
          <w:b/>
          <w:bCs/>
          <w:lang w:val="hr-HR"/>
        </w:rPr>
      </w:pPr>
      <w:r w:rsidRPr="008709AD">
        <w:rPr>
          <w:b/>
          <w:bCs/>
          <w:lang w:val="hr-HR"/>
        </w:rPr>
        <w:t xml:space="preserve">Parafrazirajte i citirajte u sljedećim ulomcima. </w:t>
      </w:r>
      <w:r w:rsidR="00DC34FE">
        <w:rPr>
          <w:b/>
          <w:bCs/>
          <w:lang w:val="hr-HR"/>
        </w:rPr>
        <w:t>N</w:t>
      </w:r>
      <w:r w:rsidRPr="008709AD">
        <w:rPr>
          <w:b/>
          <w:bCs/>
          <w:lang w:val="hr-HR"/>
        </w:rPr>
        <w:t xml:space="preserve">apravite </w:t>
      </w:r>
      <w:r w:rsidR="00DC34FE">
        <w:rPr>
          <w:b/>
          <w:bCs/>
          <w:lang w:val="hr-HR"/>
        </w:rPr>
        <w:t xml:space="preserve">to koristeći se svim navedenim načinima citiranja i parafraziranja. </w:t>
      </w:r>
      <w:r w:rsidRPr="008709AD">
        <w:rPr>
          <w:b/>
          <w:bCs/>
          <w:lang w:val="hr-HR"/>
        </w:rPr>
        <w:t>Iza teksta napravite popis literature.</w:t>
      </w:r>
    </w:p>
    <w:p w:rsidR="008709AD" w:rsidRDefault="008709AD" w:rsidP="008709AD">
      <w:pPr>
        <w:spacing w:line="360" w:lineRule="auto"/>
        <w:jc w:val="both"/>
        <w:rPr>
          <w:bCs/>
          <w:lang w:val="hr-HR"/>
        </w:rPr>
      </w:pPr>
    </w:p>
    <w:p w:rsidR="008709AD" w:rsidRDefault="008709AD" w:rsidP="008709AD">
      <w:pPr>
        <w:spacing w:line="360" w:lineRule="auto"/>
        <w:jc w:val="both"/>
      </w:pPr>
      <w:r w:rsidRPr="008709AD">
        <w:rPr>
          <w:bCs/>
          <w:lang w:val="hr-HR"/>
        </w:rPr>
        <w:t>S obzirom na to da se ovdje ipak ne radi o istraživanju skrivenih ideoloških mehanizama, ukratko možemo sa sigurnošću zaključiti kako se, barem u nekim slučajevima, ovaj argument može odbaciti:</w:t>
      </w:r>
      <w:r>
        <w:rPr>
          <w:bCs/>
          <w:lang w:val="hr-HR"/>
        </w:rPr>
        <w:t xml:space="preserve"> </w:t>
      </w:r>
      <w:r w:rsidRPr="008709AD">
        <w:rPr>
          <w:bCs/>
          <w:lang w:val="hr-HR"/>
        </w:rPr>
        <w:t>„Usput budi rečeno, prema mom mišljenju postoje slučajevi u kojima bi bilo pogrešno ili čak nehumano zauzeti estetski stav, postaviti izvjesne realnosti na psihičku distancu, primjerice – promatrati pobunu u kojoj policija kundakom tuče demonstrante kao neku vrstu baleta, ili rasprskavajuće bombe iz aviona iz kojeg ih ispuštamo kao mistične krizanteme. Umjesto toga, tu se mora postaviti pitanje o tome što treba uraditi.“</w:t>
      </w:r>
      <w:r>
        <w:rPr>
          <w:bCs/>
          <w:lang w:val="hr-HR"/>
        </w:rPr>
        <w:t xml:space="preserve"> (</w:t>
      </w:r>
      <w:r>
        <w:t xml:space="preserve">Arthur C. Danto, </w:t>
      </w:r>
      <w:r>
        <w:rPr>
          <w:i/>
        </w:rPr>
        <w:t>Preobražaj svakidašnjeg. Filozofija umjetnosti</w:t>
      </w:r>
      <w:r>
        <w:t>, Kruzak, Zagreb 1997, str. 32)</w:t>
      </w:r>
    </w:p>
    <w:p w:rsidR="008709AD" w:rsidRDefault="008709AD" w:rsidP="008709AD">
      <w:pPr>
        <w:spacing w:line="360" w:lineRule="auto"/>
        <w:jc w:val="both"/>
      </w:pPr>
    </w:p>
    <w:p w:rsidR="008709AD" w:rsidRDefault="008709AD" w:rsidP="008709AD">
      <w:pPr>
        <w:spacing w:line="360" w:lineRule="auto"/>
        <w:jc w:val="both"/>
        <w:rPr>
          <w:color w:val="000000"/>
          <w:shd w:val="clear" w:color="auto" w:fill="FFFFFF"/>
        </w:rPr>
      </w:pPr>
      <w:r w:rsidRPr="008709AD">
        <w:rPr>
          <w:lang w:val="hr-HR"/>
        </w:rPr>
        <w:t xml:space="preserve">Upravo na tom argumentu Danto odbacuje Goodmanovo tumačenje o postojanju fizičke razlike između takvih parnjaka i ostaje pri ontološkom ispitivanju razlike predmeta a „kao dokaz on navodi krajnju izoštrenost oka i uha pri zamjećivanju nevjerojatnih razlika izazvanih najsitnijim </w:t>
      </w:r>
      <w:r w:rsidRPr="008709AD">
        <w:rPr>
          <w:lang w:val="hr-HR"/>
        </w:rPr>
        <w:lastRenderedPageBreak/>
        <w:t xml:space="preserve">promjenama.“ (Nelson Goodman, </w:t>
      </w:r>
      <w:r w:rsidRPr="008709AD">
        <w:rPr>
          <w:i/>
          <w:lang w:val="hr-HR"/>
        </w:rPr>
        <w:t>Jezici umjetnosti. Pristup teoriji simbola</w:t>
      </w:r>
      <w:r w:rsidRPr="008709AD">
        <w:rPr>
          <w:lang w:val="hr-HR"/>
        </w:rPr>
        <w:t xml:space="preserve">, </w:t>
      </w:r>
      <w:r w:rsidRPr="008709AD">
        <w:rPr>
          <w:color w:val="000000"/>
          <w:shd w:val="clear" w:color="auto" w:fill="FFFFFF"/>
        </w:rPr>
        <w:t>Kruzak, Zagreb 2002.)</w:t>
      </w:r>
    </w:p>
    <w:p w:rsidR="008709AD" w:rsidRDefault="008709AD" w:rsidP="008709AD">
      <w:pPr>
        <w:spacing w:line="360" w:lineRule="auto"/>
        <w:jc w:val="both"/>
        <w:rPr>
          <w:color w:val="000000"/>
          <w:shd w:val="clear" w:color="auto" w:fill="FFFFFF"/>
        </w:rPr>
      </w:pPr>
    </w:p>
    <w:p w:rsidR="008709AD" w:rsidRDefault="008709AD" w:rsidP="008709AD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U konačnici, takvo stajalište možemo odbaciti iz dva razloga; prvo jer sama historijska dimenzija ne znači nužno povratak u historicizam jednako kao što relacijska svojstva Dantoovu definiciju ne čine institucionalnom – relacijska svojstva ovdje označavaju veze s </w:t>
      </w:r>
      <w:r>
        <w:rPr>
          <w:i/>
          <w:lang w:val="hr-HR"/>
        </w:rPr>
        <w:t>umjetničkim svijetom</w:t>
      </w:r>
      <w:r>
        <w:rPr>
          <w:lang w:val="hr-HR"/>
        </w:rPr>
        <w:t>,</w:t>
      </w:r>
      <w:r>
        <w:rPr>
          <w:i/>
          <w:lang w:val="hr-HR"/>
        </w:rPr>
        <w:t xml:space="preserve"> </w:t>
      </w:r>
      <w:r>
        <w:rPr>
          <w:lang w:val="hr-HR"/>
        </w:rPr>
        <w:t>(</w:t>
      </w:r>
      <w:r w:rsidRPr="00016334">
        <w:rPr>
          <w:lang w:val="hr-HR"/>
        </w:rPr>
        <w:t xml:space="preserve">Arthur C. Danto, “The Artworld”, </w:t>
      </w:r>
      <w:r w:rsidRPr="00016334">
        <w:rPr>
          <w:i/>
          <w:lang w:val="hr-HR"/>
        </w:rPr>
        <w:t>The Journal of Philosophy</w:t>
      </w:r>
      <w:r>
        <w:rPr>
          <w:lang w:val="hr-HR"/>
        </w:rPr>
        <w:t xml:space="preserve"> 61 (19/1964), str. 571-584) ne kao društvenom institucijom, već kao konačnim oblikom samosvijesti umjetnosti.</w:t>
      </w:r>
    </w:p>
    <w:p w:rsidR="009D694B" w:rsidRDefault="009D694B" w:rsidP="008709AD">
      <w:pPr>
        <w:spacing w:line="360" w:lineRule="auto"/>
        <w:jc w:val="both"/>
        <w:rPr>
          <w:lang w:val="hr-HR"/>
        </w:rPr>
      </w:pPr>
    </w:p>
    <w:p w:rsidR="009D694B" w:rsidRDefault="009D694B" w:rsidP="008709AD">
      <w:pPr>
        <w:spacing w:line="360" w:lineRule="auto"/>
        <w:jc w:val="both"/>
        <w:rPr>
          <w:lang w:val="hr-HR"/>
        </w:rPr>
      </w:pPr>
    </w:p>
    <w:p w:rsidR="009D694B" w:rsidRPr="009D694B" w:rsidRDefault="009D694B" w:rsidP="008709AD">
      <w:pPr>
        <w:spacing w:line="360" w:lineRule="auto"/>
        <w:jc w:val="both"/>
        <w:rPr>
          <w:b/>
          <w:bCs/>
          <w:lang w:val="hr-HR"/>
        </w:rPr>
      </w:pPr>
      <w:r w:rsidRPr="009D694B">
        <w:rPr>
          <w:b/>
          <w:lang w:val="hr-HR"/>
        </w:rPr>
        <w:t>Popis literature:</w:t>
      </w:r>
    </w:p>
    <w:sectPr w:rsidR="009D694B" w:rsidRPr="009D6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6D" w:rsidRDefault="007C426D" w:rsidP="008709AD">
      <w:r>
        <w:separator/>
      </w:r>
    </w:p>
  </w:endnote>
  <w:endnote w:type="continuationSeparator" w:id="0">
    <w:p w:rsidR="007C426D" w:rsidRDefault="007C426D" w:rsidP="0087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6D" w:rsidRDefault="007C426D" w:rsidP="008709AD">
      <w:r>
        <w:separator/>
      </w:r>
    </w:p>
  </w:footnote>
  <w:footnote w:type="continuationSeparator" w:id="0">
    <w:p w:rsidR="007C426D" w:rsidRDefault="007C426D" w:rsidP="0087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2AB9"/>
    <w:multiLevelType w:val="hybridMultilevel"/>
    <w:tmpl w:val="78C806D8"/>
    <w:lvl w:ilvl="0" w:tplc="0FAA2F7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B4A80F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9C7262E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32A26F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B5A799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F6B052B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8A2042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D18E1C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CC8A425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70"/>
    <w:rsid w:val="007C426D"/>
    <w:rsid w:val="008709AD"/>
    <w:rsid w:val="009D694B"/>
    <w:rsid w:val="00B41642"/>
    <w:rsid w:val="00B53A70"/>
    <w:rsid w:val="00D27718"/>
    <w:rsid w:val="00DC34FE"/>
    <w:rsid w:val="00F2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C9E8"/>
  <w15:chartTrackingRefBased/>
  <w15:docId w15:val="{660DF5A9-1CAB-47B8-8F9F-EAFCAEDC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8709A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709A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8709AD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D27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owl/research_and_citation/mla_style/mla_formatting_and_style_guide/mla_general_format.html" TargetMode="External"/><Relationship Id="rId13" Type="http://schemas.openxmlformats.org/officeDocument/2006/relationships/hyperlink" Target="https://www.mendeley.com/guides/harvard-citation-gui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wl.purdue.edu/owl/research_and_citation/mla_style/mla_formatting_and_style_guide/mla_general_format.html" TargetMode="External"/><Relationship Id="rId12" Type="http://schemas.openxmlformats.org/officeDocument/2006/relationships/hyperlink" Target="https://ms.mcmaster.ca/~vantuyl/courses/LibrarySlides_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wl.purdue.edu/owl/research_and_citation/apa6_style/apa_formatting_and_style_guide/general_forma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enmypaper.com/referencing-styles/oxford-referencing-style" TargetMode="External"/><Relationship Id="rId10" Type="http://schemas.openxmlformats.org/officeDocument/2006/relationships/hyperlink" Target="https://owl.purdue.edu/owl/research_and_citation/apa6_style/apa_formatting_and_style_guide/general_forma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wl.purdue.edu/owl/research_and_citation/chicago_manual_17th_edition/cmos_formatting_and_style_guide/general_format.html" TargetMode="External"/><Relationship Id="rId14" Type="http://schemas.openxmlformats.org/officeDocument/2006/relationships/hyperlink" Target="https://www.mendeley.com/guides/harvard-citation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Kardum</dc:creator>
  <cp:keywords/>
  <dc:description/>
  <cp:lastModifiedBy>Marko Kardum</cp:lastModifiedBy>
  <cp:revision>5</cp:revision>
  <dcterms:created xsi:type="dcterms:W3CDTF">2021-12-08T21:53:00Z</dcterms:created>
  <dcterms:modified xsi:type="dcterms:W3CDTF">2022-11-15T20:53:00Z</dcterms:modified>
</cp:coreProperties>
</file>