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EB" w:rsidRPr="00A670AB" w:rsidRDefault="008050EB" w:rsidP="008050EB">
      <w:pPr>
        <w:tabs>
          <w:tab w:val="left" w:pos="2820"/>
        </w:tabs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A670AB">
        <w:rPr>
          <w:rFonts w:ascii="Arial" w:hAnsi="Arial" w:cs="Arial"/>
          <w:sz w:val="20"/>
          <w:szCs w:val="20"/>
          <w:lang w:val="en-GB"/>
        </w:rPr>
        <w:t xml:space="preserve">Description of the course </w:t>
      </w:r>
    </w:p>
    <w:p w:rsidR="008050EB" w:rsidRPr="00CC6DC3" w:rsidRDefault="008050EB" w:rsidP="008050EB">
      <w:pPr>
        <w:tabs>
          <w:tab w:val="left" w:pos="2820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1898"/>
        <w:gridCol w:w="617"/>
        <w:gridCol w:w="530"/>
        <w:gridCol w:w="1644"/>
        <w:gridCol w:w="618"/>
        <w:gridCol w:w="759"/>
        <w:gridCol w:w="758"/>
        <w:gridCol w:w="480"/>
        <w:gridCol w:w="1020"/>
        <w:gridCol w:w="1902"/>
        <w:gridCol w:w="199"/>
        <w:gridCol w:w="2032"/>
      </w:tblGrid>
      <w:tr w:rsidR="008050EB" w:rsidRPr="00CC6DC3" w:rsidTr="00A670AB">
        <w:tc>
          <w:tcPr>
            <w:tcW w:w="15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050EB" w:rsidRPr="00A670AB" w:rsidRDefault="00553E06" w:rsidP="00A0543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8050EB" w:rsidRPr="00A670AB">
              <w:rPr>
                <w:rFonts w:ascii="Arial" w:hAnsi="Arial" w:cs="Arial"/>
                <w:b/>
                <w:sz w:val="20"/>
                <w:szCs w:val="20"/>
                <w:lang w:val="en-GB"/>
              </w:rPr>
              <w:t>COURSE DECRIPTION – GENERAL INFORMATION</w:t>
            </w:r>
          </w:p>
        </w:tc>
      </w:tr>
      <w:tr w:rsidR="008050EB" w:rsidRPr="00CC6DC3" w:rsidTr="00A670AB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050EB" w:rsidRPr="00A670AB" w:rsidRDefault="008050EB" w:rsidP="008050EB">
            <w:pPr>
              <w:numPr>
                <w:ilvl w:val="1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t>Course teacher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B" w:rsidRPr="00A670AB" w:rsidRDefault="00A670AB" w:rsidP="00A670AB">
            <w:pPr>
              <w:tabs>
                <w:tab w:val="left" w:pos="282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1931B3" w:rsidRPr="00A670AB">
              <w:rPr>
                <w:rFonts w:ascii="Arial" w:hAnsi="Arial" w:cs="Arial"/>
                <w:sz w:val="20"/>
                <w:szCs w:val="20"/>
              </w:rPr>
              <w:t>Mislav Kukoč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4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050EB" w:rsidRPr="00A670AB" w:rsidRDefault="008050EB" w:rsidP="008050EB">
            <w:pPr>
              <w:numPr>
                <w:ilvl w:val="1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t>Year of the study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EB" w:rsidRPr="00A670AB" w:rsidRDefault="001931B3" w:rsidP="00A0543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1931B3" w:rsidRPr="00CC6DC3" w:rsidTr="00A670AB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931B3" w:rsidRPr="00A670AB" w:rsidRDefault="001931B3" w:rsidP="001931B3">
            <w:pPr>
              <w:numPr>
                <w:ilvl w:val="1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t>Name of the course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B3" w:rsidRPr="00A670AB" w:rsidRDefault="001931B3" w:rsidP="00A670AB">
            <w:pPr>
              <w:spacing w:before="20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Philosophy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Globalization</w:t>
            </w:r>
            <w:proofErr w:type="spellEnd"/>
          </w:p>
        </w:tc>
        <w:tc>
          <w:tcPr>
            <w:tcW w:w="4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931B3" w:rsidRPr="00A670AB" w:rsidRDefault="001931B3" w:rsidP="001931B3">
            <w:pPr>
              <w:numPr>
                <w:ilvl w:val="1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t>ECTS credits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B3" w:rsidRPr="00A670AB" w:rsidRDefault="001931B3" w:rsidP="001931B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</w:tr>
      <w:tr w:rsidR="001931B3" w:rsidRPr="00CC6DC3" w:rsidTr="00A670AB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931B3" w:rsidRPr="00A670AB" w:rsidRDefault="001931B3" w:rsidP="001931B3">
            <w:pPr>
              <w:numPr>
                <w:ilvl w:val="1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t>Associate teachers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B3" w:rsidRPr="00A670AB" w:rsidRDefault="001931B3" w:rsidP="001931B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931B3" w:rsidRPr="00A670AB" w:rsidRDefault="001931B3" w:rsidP="001931B3">
            <w:pPr>
              <w:numPr>
                <w:ilvl w:val="1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t>Type of instruction (number of hours L + S + E + e-learning)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B3" w:rsidRPr="00A670AB" w:rsidRDefault="00467103" w:rsidP="0046710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  <w:r w:rsidR="00A670AB">
              <w:rPr>
                <w:rFonts w:ascii="Arial" w:hAnsi="Arial" w:cs="Arial"/>
                <w:sz w:val="20"/>
                <w:szCs w:val="20"/>
                <w:lang w:val="en-GB"/>
              </w:rPr>
              <w:t xml:space="preserve"> +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  <w:r w:rsidR="00A670AB">
              <w:rPr>
                <w:rFonts w:ascii="Arial" w:hAnsi="Arial" w:cs="Arial"/>
                <w:sz w:val="20"/>
                <w:szCs w:val="20"/>
                <w:lang w:val="en-GB"/>
              </w:rPr>
              <w:t xml:space="preserve"> + 0</w:t>
            </w:r>
          </w:p>
        </w:tc>
      </w:tr>
      <w:tr w:rsidR="001931B3" w:rsidRPr="00CC6DC3" w:rsidTr="00A670AB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931B3" w:rsidRPr="00A670AB" w:rsidRDefault="001931B3" w:rsidP="001931B3">
            <w:pPr>
              <w:numPr>
                <w:ilvl w:val="1"/>
                <w:numId w:val="4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t>Study programme (undergraduate, graduate, integrated)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B3" w:rsidRPr="00A670AB" w:rsidRDefault="001931B3" w:rsidP="001931B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t>graduate</w:t>
            </w:r>
          </w:p>
        </w:tc>
        <w:tc>
          <w:tcPr>
            <w:tcW w:w="4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931B3" w:rsidRPr="00A670AB" w:rsidRDefault="001931B3" w:rsidP="001931B3">
            <w:pPr>
              <w:numPr>
                <w:ilvl w:val="1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t>Expected enrolment in the course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B3" w:rsidRPr="00A670AB" w:rsidRDefault="001931B3" w:rsidP="001931B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</w:tr>
      <w:tr w:rsidR="001931B3" w:rsidRPr="00CC6DC3" w:rsidTr="00A670AB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931B3" w:rsidRPr="00A670AB" w:rsidRDefault="001931B3" w:rsidP="001931B3">
            <w:pPr>
              <w:numPr>
                <w:ilvl w:val="1"/>
                <w:numId w:val="5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t>Status of the course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B3" w:rsidRPr="00553E06" w:rsidRDefault="00092E04" w:rsidP="00553E06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53E06">
              <w:rPr>
                <w:rFonts w:ascii="Arial" w:hAnsi="Arial" w:cs="Arial"/>
                <w:bCs/>
                <w:sz w:val="20"/>
                <w:szCs w:val="20"/>
              </w:rPr>
              <w:t>Elective</w:t>
            </w:r>
            <w:proofErr w:type="spellEnd"/>
            <w:r w:rsidRPr="00553E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53E06">
              <w:rPr>
                <w:rFonts w:ascii="Arial" w:hAnsi="Arial" w:cs="Arial"/>
                <w:bCs/>
                <w:sz w:val="20"/>
                <w:szCs w:val="20"/>
              </w:rPr>
              <w:t>related</w:t>
            </w:r>
            <w:proofErr w:type="spellEnd"/>
            <w:r w:rsidRPr="00553E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53E06">
              <w:rPr>
                <w:rFonts w:ascii="Arial" w:hAnsi="Arial" w:cs="Arial"/>
                <w:bCs/>
                <w:sz w:val="20"/>
                <w:szCs w:val="20"/>
              </w:rPr>
              <w:t>course</w:t>
            </w:r>
            <w:proofErr w:type="spellEnd"/>
            <w:r w:rsidRPr="00553E06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proofErr w:type="spellStart"/>
            <w:r w:rsidRPr="00553E06">
              <w:rPr>
                <w:rFonts w:ascii="Arial" w:hAnsi="Arial" w:cs="Arial"/>
                <w:bCs/>
                <w:sz w:val="20"/>
                <w:szCs w:val="20"/>
              </w:rPr>
              <w:t>or</w:t>
            </w:r>
            <w:proofErr w:type="spellEnd"/>
            <w:r w:rsidRPr="00553E0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3E06">
              <w:rPr>
                <w:rFonts w:ascii="Arial" w:hAnsi="Arial" w:cs="Arial"/>
                <w:bCs/>
                <w:sz w:val="20"/>
                <w:szCs w:val="20"/>
              </w:rPr>
              <w:t>Optional</w:t>
            </w:r>
            <w:proofErr w:type="spellEnd"/>
            <w:r w:rsidRPr="00553E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53E06">
              <w:rPr>
                <w:rFonts w:ascii="Arial" w:hAnsi="Arial" w:cs="Arial"/>
                <w:bCs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4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931B3" w:rsidRPr="00A670AB" w:rsidRDefault="001931B3" w:rsidP="00A670AB">
            <w:pPr>
              <w:numPr>
                <w:ilvl w:val="1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t xml:space="preserve"> Level of application of e-learning (level 1, 2, 3), percentage of online</w:t>
            </w:r>
            <w:r w:rsidR="00A670A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t>instruction (max. 20%)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B3" w:rsidRPr="00A670AB" w:rsidRDefault="00092E04" w:rsidP="001931B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t>20 %</w:t>
            </w:r>
          </w:p>
        </w:tc>
      </w:tr>
      <w:tr w:rsidR="001931B3" w:rsidRPr="00CC6DC3" w:rsidTr="00A670AB">
        <w:tc>
          <w:tcPr>
            <w:tcW w:w="15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931B3" w:rsidRPr="00A670AB" w:rsidRDefault="001931B3" w:rsidP="001931B3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b/>
                <w:sz w:val="20"/>
                <w:szCs w:val="20"/>
                <w:lang w:val="en-GB"/>
              </w:rPr>
              <w:t>2. COURSE DESCRIPTION</w:t>
            </w:r>
          </w:p>
        </w:tc>
      </w:tr>
      <w:tr w:rsidR="00092E04" w:rsidRPr="00CC6DC3" w:rsidTr="00B21A75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92E04" w:rsidRPr="00A670AB" w:rsidRDefault="00092E04" w:rsidP="00092E04">
            <w:pPr>
              <w:numPr>
                <w:ilvl w:val="1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Course objectives</w:t>
            </w:r>
          </w:p>
        </w:tc>
        <w:tc>
          <w:tcPr>
            <w:tcW w:w="124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04" w:rsidRPr="00A670AB" w:rsidRDefault="00092E04" w:rsidP="00092E04">
            <w:pPr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Reflection on the essence of globalization, its genesis and historical development in the context of Western philosophical tradition. Conceptual analysis of globalization, as well as a critical consideration of different definitions and approaches to globalization, and its different dimensions.</w:t>
            </w:r>
          </w:p>
        </w:tc>
      </w:tr>
      <w:tr w:rsidR="00092E04" w:rsidRPr="00CC6DC3" w:rsidTr="00B21A75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92E04" w:rsidRPr="00A670AB" w:rsidRDefault="00092E04" w:rsidP="00A670AB">
            <w:pPr>
              <w:numPr>
                <w:ilvl w:val="1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Enrolment requirements and/or entry competences required</w:t>
            </w:r>
            <w:r w:rsid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for the course</w:t>
            </w:r>
            <w:r w:rsidR="00553E0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4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04" w:rsidRPr="008A67E1" w:rsidRDefault="00920D85" w:rsidP="00920D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Completed undergraduate study of philosophy</w:t>
            </w:r>
            <w:r w:rsidR="00360D69" w:rsidRPr="008A67E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or another </w:t>
            </w:r>
            <w:proofErr w:type="spellStart"/>
            <w:r w:rsidR="00360D69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undergraduate</w:t>
            </w:r>
            <w:proofErr w:type="spellEnd"/>
            <w:r w:rsidR="00360D69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60D69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study</w:t>
            </w:r>
            <w:proofErr w:type="spellEnd"/>
            <w:r w:rsidR="00360D69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60D69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programme</w:t>
            </w:r>
            <w:proofErr w:type="spellEnd"/>
            <w:r w:rsidR="00360D69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60D69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360D69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60D69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humanities</w:t>
            </w:r>
            <w:proofErr w:type="spellEnd"/>
            <w:r w:rsidR="00360D69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60D69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or</w:t>
            </w:r>
            <w:proofErr w:type="spellEnd"/>
            <w:r w:rsidR="00360D69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60D69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</w:t>
            </w:r>
            <w:proofErr w:type="spellEnd"/>
            <w:r w:rsidR="00360D69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60D69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sciences</w:t>
            </w:r>
            <w:proofErr w:type="spellEnd"/>
            <w:r w:rsidR="00360D69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092E04" w:rsidRPr="00CC6DC3" w:rsidTr="00B21A75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92E04" w:rsidRPr="00B21A75" w:rsidRDefault="00092E04" w:rsidP="00B21A75">
            <w:pPr>
              <w:numPr>
                <w:ilvl w:val="1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Learning outcomes at the level</w:t>
            </w:r>
            <w:r w:rsidR="00B21A7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B21A7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of the programme to which the course contributes </w:t>
            </w:r>
          </w:p>
        </w:tc>
        <w:tc>
          <w:tcPr>
            <w:tcW w:w="124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E1" w:rsidRPr="008A67E1" w:rsidRDefault="008A67E1" w:rsidP="008A67E1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Independently read and interpret more complex works at various interdisciplinary crossings with philosophy, analyse and evaluate concepts and arguments found therein</w:t>
            </w:r>
          </w:p>
          <w:p w:rsidR="008A67E1" w:rsidRPr="008A67E1" w:rsidRDefault="008A67E1" w:rsidP="008A67E1">
            <w:pPr>
              <w:spacing w:before="40" w:after="4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8A67E1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Consider and evaluate the validity of diverse theoretical and practical proposals, taking into account specific characteristics of various areas of life and work environments;</w:t>
            </w:r>
          </w:p>
          <w:p w:rsidR="008A67E1" w:rsidRPr="008A67E1" w:rsidRDefault="008A67E1" w:rsidP="008A67E1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Think in an interdisciplinary manner and respect diverse methodologies and views on specific issues and problems;</w:t>
            </w:r>
          </w:p>
          <w:p w:rsidR="00092E04" w:rsidRPr="008A67E1" w:rsidRDefault="008A67E1" w:rsidP="008A67E1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explain the connections, common assumptions, similarities and differences between concepts, problems, arguments and theories from various branches of philosophy</w:t>
            </w:r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920D85" w:rsidRPr="00CC6DC3" w:rsidTr="00A670AB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20D85" w:rsidRPr="00A670AB" w:rsidRDefault="00920D85" w:rsidP="00A670AB">
            <w:pPr>
              <w:numPr>
                <w:ilvl w:val="1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Expected learning outcomes</w:t>
            </w:r>
            <w:r w:rsid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at the level of the course</w:t>
            </w:r>
            <w:r w:rsid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(3-10 learning outcomes) </w:t>
            </w:r>
          </w:p>
        </w:tc>
        <w:tc>
          <w:tcPr>
            <w:tcW w:w="124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1" w:rsidRPr="008A67E1" w:rsidRDefault="008A67E1" w:rsidP="00920D85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After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completion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course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student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expected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understand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identify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phenomenon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globalization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920D85" w:rsidRPr="008A67E1" w:rsidRDefault="00920D85" w:rsidP="00920D85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student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should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be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able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analyse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synthesise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processes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related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different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types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globalization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globalization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general. </w:t>
            </w:r>
          </w:p>
          <w:p w:rsidR="00920D85" w:rsidRPr="008A67E1" w:rsidRDefault="00920D85" w:rsidP="00920D85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S/he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also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expected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have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developed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ability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apply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knowledge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of</w:t>
            </w:r>
            <w:proofErr w:type="spellEnd"/>
            <w:r w:rsidR="00553E06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globalization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theories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solution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various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practical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problems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related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globalization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impacts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on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contemporary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politic</w:t>
            </w:r>
            <w:r w:rsidR="00B21A75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al</w:t>
            </w:r>
            <w:proofErr w:type="spellEnd"/>
            <w:r w:rsidR="00B21A75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21A75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</w:t>
            </w:r>
            <w:proofErr w:type="spellEnd"/>
            <w:r w:rsidR="00B21A75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21A75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B21A75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21A75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economic</w:t>
            </w:r>
            <w:proofErr w:type="spellEnd"/>
            <w:r w:rsidR="00B21A75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21A75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life</w:t>
            </w:r>
            <w:proofErr w:type="spellEnd"/>
            <w:r w:rsidR="00B21A75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920D85" w:rsidRPr="008A67E1" w:rsidRDefault="00920D85" w:rsidP="00920D85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student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expected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understand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major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aspects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principles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types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globalization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related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issues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such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glocalisation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globalism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universalism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internationalism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multicul</w:t>
            </w:r>
            <w:r w:rsidR="00B21A75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turalism</w:t>
            </w:r>
            <w:proofErr w:type="spellEnd"/>
            <w:r w:rsidR="00B21A75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21A75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transculturalism</w:t>
            </w:r>
            <w:proofErr w:type="spellEnd"/>
            <w:r w:rsidR="00B21A75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21A75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etc</w:t>
            </w:r>
            <w:proofErr w:type="spellEnd"/>
            <w:r w:rsidR="00B21A75"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920D85" w:rsidRPr="008A67E1" w:rsidRDefault="00920D85" w:rsidP="00920D85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S/he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should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be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able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show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ability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demonstrate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knowledge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understanding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essential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facts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concepts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principles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theories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relating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subject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area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globalization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related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issues</w:t>
            </w:r>
            <w:proofErr w:type="spellEnd"/>
            <w:r w:rsidRPr="008A67E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45340" w:rsidRPr="00CC6DC3" w:rsidTr="00A670AB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45340" w:rsidRPr="00A670AB" w:rsidRDefault="00E45340" w:rsidP="00E45340">
            <w:pPr>
              <w:numPr>
                <w:ilvl w:val="1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lastRenderedPageBreak/>
              <w:t xml:space="preserve"> Course content (syllabus)</w:t>
            </w:r>
          </w:p>
        </w:tc>
        <w:tc>
          <w:tcPr>
            <w:tcW w:w="124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>1</w:t>
            </w:r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Gnoseological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methodological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aspects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dimensions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1.1.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Concept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meaning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definitions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globalization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1.2.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globalization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1.2.1.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concept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world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philosophy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1.2.2.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World-system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theory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(I.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Wallerstein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1.2.3.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mondialisation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globalism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glocalisation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1.2.4.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Universalism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cosmopolitism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internationalism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1.3.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old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or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new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term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phenomenon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process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?</w:t>
            </w:r>
          </w:p>
          <w:p w:rsidR="00E45340" w:rsidRPr="00A670AB" w:rsidRDefault="00E45340" w:rsidP="00E4534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1.4.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history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'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>'</w:t>
            </w:r>
          </w:p>
          <w:p w:rsidR="00E45340" w:rsidRPr="00A670AB" w:rsidRDefault="00E45340" w:rsidP="00E45340">
            <w:pPr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>‘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Prehistorical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E45340" w:rsidRPr="00A670AB" w:rsidRDefault="00E45340" w:rsidP="00E45340">
            <w:pPr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1.4.2.1.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Communist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Manifesto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</w:p>
          <w:p w:rsidR="00E45340" w:rsidRPr="00A670AB" w:rsidRDefault="00E45340" w:rsidP="00E45340">
            <w:pPr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bCs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proofErr w:type="spellEnd"/>
            <w:r w:rsidRPr="00A670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Cs/>
                <w:sz w:val="20"/>
                <w:szCs w:val="20"/>
              </w:rPr>
              <w:t>philosophy</w:t>
            </w:r>
            <w:proofErr w:type="spellEnd"/>
            <w:r w:rsidRPr="00A670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Cs/>
                <w:sz w:val="20"/>
                <w:szCs w:val="20"/>
              </w:rPr>
              <w:t>history</w:t>
            </w:r>
            <w:proofErr w:type="spellEnd"/>
            <w:r w:rsidRPr="00A670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E45340" w:rsidRPr="00A670AB" w:rsidRDefault="00E45340" w:rsidP="00E45340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bCs/>
                <w:sz w:val="20"/>
                <w:szCs w:val="20"/>
              </w:rPr>
              <w:t>new</w:t>
            </w:r>
            <w:proofErr w:type="spellEnd"/>
            <w:r w:rsidRPr="00A67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bCs/>
                <w:sz w:val="20"/>
                <w:szCs w:val="20"/>
              </w:rPr>
              <w:t>theoretical</w:t>
            </w:r>
            <w:proofErr w:type="spellEnd"/>
            <w:r w:rsidRPr="00A67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bCs/>
                <w:sz w:val="20"/>
                <w:szCs w:val="20"/>
              </w:rPr>
              <w:t>paradigms</w:t>
            </w:r>
            <w:proofErr w:type="spellEnd"/>
          </w:p>
          <w:p w:rsidR="00E45340" w:rsidRPr="00A670AB" w:rsidRDefault="00E45340" w:rsidP="00E45340">
            <w:pPr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670AB">
              <w:rPr>
                <w:rFonts w:ascii="Arial" w:hAnsi="Arial" w:cs="Arial"/>
                <w:bCs/>
                <w:sz w:val="20"/>
                <w:szCs w:val="20"/>
              </w:rPr>
              <w:t>Post-</w:t>
            </w:r>
            <w:proofErr w:type="spellStart"/>
            <w:r w:rsidRPr="00A670AB">
              <w:rPr>
                <w:rFonts w:ascii="Arial" w:hAnsi="Arial" w:cs="Arial"/>
                <w:bCs/>
                <w:sz w:val="20"/>
                <w:szCs w:val="20"/>
              </w:rPr>
              <w:t>communism</w:t>
            </w:r>
            <w:proofErr w:type="spellEnd"/>
          </w:p>
          <w:p w:rsidR="00E45340" w:rsidRPr="00A670AB" w:rsidRDefault="00E45340" w:rsidP="00E45340">
            <w:pPr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bCs/>
                <w:sz w:val="20"/>
                <w:szCs w:val="20"/>
              </w:rPr>
              <w:t>Modernity</w:t>
            </w:r>
            <w:proofErr w:type="spellEnd"/>
            <w:r w:rsidRPr="00A670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bCs/>
                <w:sz w:val="20"/>
                <w:szCs w:val="20"/>
              </w:rPr>
              <w:t xml:space="preserve"> Post-</w:t>
            </w:r>
            <w:proofErr w:type="spellStart"/>
            <w:r w:rsidRPr="00A670AB">
              <w:rPr>
                <w:rFonts w:ascii="Arial" w:hAnsi="Arial" w:cs="Arial"/>
                <w:bCs/>
                <w:sz w:val="20"/>
                <w:szCs w:val="20"/>
              </w:rPr>
              <w:t>modernity</w:t>
            </w:r>
            <w:proofErr w:type="spellEnd"/>
          </w:p>
          <w:p w:rsidR="00E45340" w:rsidRPr="00A670AB" w:rsidRDefault="00E45340" w:rsidP="00E45340">
            <w:pPr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bCs/>
                <w:sz w:val="20"/>
                <w:szCs w:val="20"/>
              </w:rPr>
              <w:t>Multiculturalism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interculturalismm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transculturalism</w:t>
            </w:r>
            <w:proofErr w:type="spellEnd"/>
          </w:p>
          <w:p w:rsidR="00E45340" w:rsidRPr="00A670AB" w:rsidRDefault="00E45340" w:rsidP="00E45340">
            <w:pPr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End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</w:p>
          <w:p w:rsidR="00E45340" w:rsidRPr="00A670AB" w:rsidRDefault="00E45340" w:rsidP="00E45340">
            <w:pPr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Bioethics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ethics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life</w:t>
            </w:r>
            <w:proofErr w:type="spellEnd"/>
          </w:p>
          <w:p w:rsidR="00E45340" w:rsidRPr="00A670AB" w:rsidRDefault="00E45340" w:rsidP="00E45340">
            <w:pPr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Global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Ethic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(H.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Küng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45340" w:rsidRPr="00A670AB" w:rsidRDefault="00E45340" w:rsidP="00E45340">
            <w:pPr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Clash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civilisations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(S.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Huntington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45340" w:rsidRPr="00A670AB" w:rsidRDefault="00E45340" w:rsidP="00E45340">
            <w:pPr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</w:p>
          <w:p w:rsidR="00AA13C9" w:rsidRPr="00A670AB" w:rsidRDefault="00AA13C9" w:rsidP="00AA13C9">
            <w:pPr>
              <w:spacing w:after="0" w:line="240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5340" w:rsidRPr="00A670AB" w:rsidRDefault="00E45340" w:rsidP="00E45340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structure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  <w:szCs w:val="20"/>
              </w:rPr>
              <w:t>globalization</w:t>
            </w:r>
            <w:proofErr w:type="spellEnd"/>
          </w:p>
          <w:p w:rsidR="00E45340" w:rsidRPr="00A670AB" w:rsidRDefault="00E45340" w:rsidP="00E45340">
            <w:pPr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Rationalism</w:t>
            </w:r>
            <w:proofErr w:type="spellEnd"/>
          </w:p>
          <w:p w:rsidR="00E45340" w:rsidRPr="00A670AB" w:rsidRDefault="00E45340" w:rsidP="00E45340">
            <w:pPr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Liberalism</w:t>
            </w:r>
            <w:proofErr w:type="spellEnd"/>
          </w:p>
          <w:p w:rsidR="00E45340" w:rsidRPr="00A670AB" w:rsidRDefault="00E45340" w:rsidP="00E45340">
            <w:pPr>
              <w:numPr>
                <w:ilvl w:val="3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Philosophy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553E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liberalism</w:t>
            </w:r>
            <w:proofErr w:type="spellEnd"/>
          </w:p>
          <w:p w:rsidR="00E45340" w:rsidRPr="00A670AB" w:rsidRDefault="00E45340" w:rsidP="00E45340">
            <w:pPr>
              <w:numPr>
                <w:ilvl w:val="3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Cultural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political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liberalism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Dworkin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Rawls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Rorty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45340" w:rsidRPr="00A670AB" w:rsidRDefault="00E45340" w:rsidP="00E45340">
            <w:pPr>
              <w:numPr>
                <w:ilvl w:val="3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Neoliberalism</w:t>
            </w:r>
            <w:proofErr w:type="spellEnd"/>
          </w:p>
          <w:p w:rsidR="00E45340" w:rsidRPr="00A670AB" w:rsidRDefault="00E45340" w:rsidP="00E45340">
            <w:pPr>
              <w:numPr>
                <w:ilvl w:val="3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Libertarianism</w:t>
            </w:r>
            <w:proofErr w:type="spellEnd"/>
          </w:p>
          <w:p w:rsidR="00E45340" w:rsidRPr="00A670AB" w:rsidRDefault="00E45340" w:rsidP="00E45340">
            <w:pPr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Capitalism</w:t>
            </w:r>
            <w:proofErr w:type="spellEnd"/>
          </w:p>
          <w:p w:rsidR="00E45340" w:rsidRPr="00A670AB" w:rsidRDefault="00E45340" w:rsidP="00E45340">
            <w:pPr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Science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technology</w:t>
            </w:r>
            <w:proofErr w:type="spellEnd"/>
          </w:p>
          <w:p w:rsidR="00E45340" w:rsidRPr="00A670AB" w:rsidRDefault="00E45340" w:rsidP="00E45340">
            <w:pPr>
              <w:numPr>
                <w:ilvl w:val="3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technology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(IT)</w:t>
            </w:r>
          </w:p>
          <w:p w:rsidR="00E45340" w:rsidRPr="00A670AB" w:rsidRDefault="00E45340" w:rsidP="00E45340">
            <w:pPr>
              <w:numPr>
                <w:ilvl w:val="3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1.6.5. Media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Communications </w:t>
            </w:r>
          </w:p>
          <w:p w:rsidR="00E45340" w:rsidRPr="00A670AB" w:rsidRDefault="00E45340" w:rsidP="00E453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1.6.5.1. M.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McLuhan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Global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village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1.6.5.2. M.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Castels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Network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society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>1.6.6. (De)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2.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economic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/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economy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lastRenderedPageBreak/>
              <w:t xml:space="preserve">2.1.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Multinational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2.2. Global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consumer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society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: general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commodification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uniform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production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2.3.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Neoliberal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deregulation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deterritorialization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2.3.1.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Tax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havens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2.3.2.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Fordism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Postfordism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2.4.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denationalization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multinational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corporations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off-shore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companies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2.5.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Digitalization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3.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Political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/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of</w:t>
            </w:r>
            <w:proofErr w:type="spellEnd"/>
            <w:r w:rsidR="00553E0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politics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3.1.What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means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politics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globalized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politics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3.2.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nation-state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problem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sovereignty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3.3.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new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meaning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sovereignty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553E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3.4.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Does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means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denationalization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?</w:t>
            </w:r>
            <w:r w:rsidR="00553E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destiny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modern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nation-state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3.5.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Democracy</w:t>
            </w:r>
            <w:proofErr w:type="spellEnd"/>
            <w:r w:rsidR="00553E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3.5.1.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Supraterritorial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channels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global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democracy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3.6.2.1. Global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markets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3.6.2.2. Global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communications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3.6.2.3. Global civil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society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3.6.2.4.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Democratic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deficit</w:t>
            </w: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3..7.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home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affairs</w:t>
            </w:r>
            <w:proofErr w:type="spellEnd"/>
          </w:p>
          <w:p w:rsidR="00E45340" w:rsidRPr="00A670AB" w:rsidRDefault="00E45340" w:rsidP="00E45340">
            <w:pPr>
              <w:pStyle w:val="Tijeloteksta"/>
              <w:rPr>
                <w:rFonts w:ascii="Arial" w:hAnsi="Arial" w:cs="Arial"/>
                <w:i w:val="0"/>
                <w:sz w:val="20"/>
                <w:lang w:val="en-US"/>
              </w:rPr>
            </w:pPr>
            <w:r w:rsidRPr="00A670AB">
              <w:rPr>
                <w:rFonts w:ascii="Arial" w:hAnsi="Arial" w:cs="Arial"/>
                <w:i w:val="0"/>
                <w:sz w:val="20"/>
                <w:lang w:val="en-US"/>
              </w:rPr>
              <w:t>3.7.1. Nation-state's foreign policy in the process of globalization</w:t>
            </w:r>
          </w:p>
          <w:p w:rsidR="00E45340" w:rsidRPr="00A670AB" w:rsidRDefault="00E45340" w:rsidP="00E45340">
            <w:pPr>
              <w:pStyle w:val="Tijeloteksta"/>
              <w:rPr>
                <w:rFonts w:ascii="Arial" w:hAnsi="Arial" w:cs="Arial"/>
                <w:i w:val="0"/>
                <w:sz w:val="20"/>
                <w:lang w:val="en-US"/>
              </w:rPr>
            </w:pPr>
            <w:r w:rsidRPr="00A670AB">
              <w:rPr>
                <w:rFonts w:ascii="Arial" w:hAnsi="Arial" w:cs="Arial"/>
                <w:i w:val="0"/>
                <w:sz w:val="20"/>
                <w:lang w:val="en-US"/>
              </w:rPr>
              <w:t>3.8. Globalization and governance</w:t>
            </w:r>
          </w:p>
          <w:p w:rsidR="00E45340" w:rsidRPr="00A670AB" w:rsidRDefault="00E45340" w:rsidP="00E45340">
            <w:pPr>
              <w:pStyle w:val="Tijeloteksta"/>
              <w:rPr>
                <w:rFonts w:ascii="Arial" w:hAnsi="Arial" w:cs="Arial"/>
                <w:i w:val="0"/>
                <w:sz w:val="20"/>
                <w:lang w:val="en-US"/>
              </w:rPr>
            </w:pPr>
            <w:r w:rsidRPr="00A670AB">
              <w:rPr>
                <w:rFonts w:ascii="Arial" w:hAnsi="Arial" w:cs="Arial"/>
                <w:i w:val="0"/>
                <w:sz w:val="20"/>
                <w:lang w:val="en-US"/>
              </w:rPr>
              <w:t>3.8.1. Reconstruction of the state</w:t>
            </w:r>
          </w:p>
          <w:p w:rsidR="00E45340" w:rsidRPr="00A670AB" w:rsidRDefault="00E45340" w:rsidP="00E45340">
            <w:pPr>
              <w:pStyle w:val="Tijeloteksta"/>
              <w:rPr>
                <w:rFonts w:ascii="Arial" w:hAnsi="Arial" w:cs="Arial"/>
                <w:i w:val="0"/>
                <w:sz w:val="20"/>
                <w:lang w:val="en-US"/>
              </w:rPr>
            </w:pPr>
            <w:r w:rsidRPr="00A670AB">
              <w:rPr>
                <w:rFonts w:ascii="Arial" w:hAnsi="Arial" w:cs="Arial"/>
                <w:i w:val="0"/>
                <w:sz w:val="20"/>
                <w:lang w:val="en-US"/>
              </w:rPr>
              <w:t xml:space="preserve">3.8.2. </w:t>
            </w:r>
            <w:r w:rsidR="00B21A75">
              <w:rPr>
                <w:rFonts w:ascii="Arial" w:hAnsi="Arial" w:cs="Arial"/>
                <w:i w:val="0"/>
                <w:sz w:val="20"/>
                <w:lang w:val="en-US"/>
              </w:rPr>
              <w:t>Multilayered public governance</w:t>
            </w:r>
          </w:p>
          <w:p w:rsidR="00E45340" w:rsidRPr="00A670AB" w:rsidRDefault="00E45340" w:rsidP="00E45340">
            <w:pPr>
              <w:pStyle w:val="Tijeloteksta"/>
              <w:rPr>
                <w:rFonts w:ascii="Arial" w:hAnsi="Arial" w:cs="Arial"/>
                <w:i w:val="0"/>
                <w:sz w:val="20"/>
                <w:lang w:val="en-US"/>
              </w:rPr>
            </w:pPr>
            <w:r w:rsidRPr="00A670AB">
              <w:rPr>
                <w:rFonts w:ascii="Arial" w:hAnsi="Arial" w:cs="Arial"/>
                <w:i w:val="0"/>
                <w:sz w:val="20"/>
                <w:lang w:val="en-US"/>
              </w:rPr>
              <w:t>3.8.3. Privatized governance</w:t>
            </w:r>
          </w:p>
          <w:p w:rsidR="00E45340" w:rsidRPr="00A670AB" w:rsidRDefault="00E45340" w:rsidP="00E45340">
            <w:pPr>
              <w:pStyle w:val="Tijeloteksta"/>
              <w:rPr>
                <w:rFonts w:ascii="Arial" w:hAnsi="Arial" w:cs="Arial"/>
                <w:i w:val="0"/>
                <w:sz w:val="20"/>
                <w:lang w:val="en-US"/>
              </w:rPr>
            </w:pPr>
            <w:r w:rsidRPr="00A670AB">
              <w:rPr>
                <w:rFonts w:ascii="Arial" w:hAnsi="Arial" w:cs="Arial"/>
                <w:i w:val="0"/>
                <w:sz w:val="20"/>
                <w:lang w:val="en-US"/>
              </w:rPr>
              <w:t>3.9. Globaliza</w:t>
            </w:r>
            <w:r w:rsidR="00B21A75">
              <w:rPr>
                <w:rFonts w:ascii="Arial" w:hAnsi="Arial" w:cs="Arial"/>
                <w:i w:val="0"/>
                <w:sz w:val="20"/>
                <w:lang w:val="en-US"/>
              </w:rPr>
              <w:t>tion and rule of law</w:t>
            </w:r>
          </w:p>
          <w:p w:rsidR="00E45340" w:rsidRPr="00A670AB" w:rsidRDefault="00E45340" w:rsidP="00E45340">
            <w:pPr>
              <w:pStyle w:val="Tijeloteksta"/>
              <w:rPr>
                <w:rFonts w:ascii="Arial" w:hAnsi="Arial" w:cs="Arial"/>
                <w:i w:val="0"/>
                <w:sz w:val="20"/>
              </w:rPr>
            </w:pPr>
          </w:p>
          <w:p w:rsidR="00E45340" w:rsidRPr="00A670AB" w:rsidRDefault="00E45340" w:rsidP="00E45340">
            <w:pPr>
              <w:pStyle w:val="Tijeloteksta"/>
              <w:rPr>
                <w:rFonts w:ascii="Arial" w:hAnsi="Arial" w:cs="Arial"/>
                <w:b/>
                <w:sz w:val="20"/>
              </w:rPr>
            </w:pPr>
            <w:r w:rsidRPr="00A670AB">
              <w:rPr>
                <w:rFonts w:ascii="Arial" w:hAnsi="Arial" w:cs="Arial"/>
                <w:b/>
                <w:sz w:val="20"/>
              </w:rPr>
              <w:t xml:space="preserve">4. </w:t>
            </w:r>
            <w:proofErr w:type="spellStart"/>
            <w:r w:rsidRPr="00A670AB">
              <w:rPr>
                <w:rFonts w:ascii="Arial" w:hAnsi="Arial" w:cs="Arial"/>
                <w:b/>
                <w:sz w:val="20"/>
              </w:rPr>
              <w:t>Social</w:t>
            </w:r>
            <w:proofErr w:type="spellEnd"/>
            <w:r w:rsidRPr="00A670AB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</w:rPr>
              <w:t>aspects</w:t>
            </w:r>
            <w:proofErr w:type="spellEnd"/>
            <w:r w:rsidRPr="00A670AB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sz w:val="20"/>
              </w:rPr>
              <w:t>globalization</w:t>
            </w:r>
            <w:proofErr w:type="spellEnd"/>
          </w:p>
          <w:p w:rsidR="00E45340" w:rsidRPr="00A670AB" w:rsidRDefault="00E45340" w:rsidP="00E45340">
            <w:pPr>
              <w:pStyle w:val="Tijeloteksta"/>
              <w:rPr>
                <w:rFonts w:ascii="Arial" w:hAnsi="Arial" w:cs="Arial"/>
                <w:i w:val="0"/>
                <w:sz w:val="20"/>
              </w:rPr>
            </w:pPr>
            <w:r w:rsidRPr="00A670AB">
              <w:rPr>
                <w:rFonts w:ascii="Arial" w:hAnsi="Arial" w:cs="Arial"/>
                <w:i w:val="0"/>
                <w:sz w:val="20"/>
              </w:rPr>
              <w:t xml:space="preserve">4.1. </w:t>
            </w:r>
            <w:proofErr w:type="spellStart"/>
            <w:r w:rsidRPr="00A670AB">
              <w:rPr>
                <w:rFonts w:ascii="Arial" w:hAnsi="Arial" w:cs="Arial"/>
                <w:i w:val="0"/>
                <w:sz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i w:val="0"/>
                <w:sz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 w:val="0"/>
                <w:sz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i w:val="0"/>
                <w:sz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 w:val="0"/>
                <w:sz w:val="20"/>
              </w:rPr>
              <w:t>community</w:t>
            </w:r>
            <w:proofErr w:type="spellEnd"/>
            <w:r w:rsidRPr="00A670AB">
              <w:rPr>
                <w:rFonts w:ascii="Arial" w:hAnsi="Arial" w:cs="Arial"/>
                <w:i w:val="0"/>
                <w:sz w:val="20"/>
              </w:rPr>
              <w:t xml:space="preserve"> </w:t>
            </w:r>
          </w:p>
          <w:p w:rsidR="00E45340" w:rsidRPr="00A670AB" w:rsidRDefault="00E45340" w:rsidP="00E45340">
            <w:pPr>
              <w:pStyle w:val="Tijeloteksta"/>
              <w:rPr>
                <w:rFonts w:ascii="Arial" w:hAnsi="Arial" w:cs="Arial"/>
                <w:i w:val="0"/>
                <w:sz w:val="20"/>
              </w:rPr>
            </w:pPr>
            <w:r w:rsidRPr="00A670AB">
              <w:rPr>
                <w:rFonts w:ascii="Arial" w:hAnsi="Arial" w:cs="Arial"/>
                <w:i w:val="0"/>
                <w:sz w:val="20"/>
              </w:rPr>
              <w:t xml:space="preserve">4.1.1. </w:t>
            </w:r>
            <w:proofErr w:type="spellStart"/>
            <w:r w:rsidR="00B21A75">
              <w:rPr>
                <w:rFonts w:ascii="Arial" w:hAnsi="Arial" w:cs="Arial"/>
                <w:i w:val="0"/>
                <w:sz w:val="20"/>
              </w:rPr>
              <w:t>Nonteritorrial</w:t>
            </w:r>
            <w:proofErr w:type="spellEnd"/>
            <w:r w:rsidR="00B21A75">
              <w:rPr>
                <w:rFonts w:ascii="Arial" w:hAnsi="Arial" w:cs="Arial"/>
                <w:i w:val="0"/>
                <w:sz w:val="20"/>
              </w:rPr>
              <w:t xml:space="preserve"> </w:t>
            </w:r>
            <w:proofErr w:type="spellStart"/>
            <w:r w:rsidR="00B21A75">
              <w:rPr>
                <w:rFonts w:ascii="Arial" w:hAnsi="Arial" w:cs="Arial"/>
                <w:i w:val="0"/>
                <w:sz w:val="20"/>
              </w:rPr>
              <w:t>communities</w:t>
            </w:r>
            <w:proofErr w:type="spellEnd"/>
          </w:p>
          <w:p w:rsidR="00E45340" w:rsidRPr="00A670AB" w:rsidRDefault="00E45340" w:rsidP="00E45340">
            <w:pPr>
              <w:pStyle w:val="Tijeloteksta"/>
              <w:rPr>
                <w:rFonts w:ascii="Arial" w:hAnsi="Arial" w:cs="Arial"/>
                <w:i w:val="0"/>
                <w:sz w:val="20"/>
              </w:rPr>
            </w:pPr>
            <w:r w:rsidRPr="00A670AB">
              <w:rPr>
                <w:rFonts w:ascii="Arial" w:hAnsi="Arial" w:cs="Arial"/>
                <w:i w:val="0"/>
                <w:sz w:val="20"/>
              </w:rPr>
              <w:t xml:space="preserve">4.1.2. </w:t>
            </w:r>
            <w:proofErr w:type="spellStart"/>
            <w:r w:rsidRPr="00A670AB">
              <w:rPr>
                <w:rFonts w:ascii="Arial" w:hAnsi="Arial" w:cs="Arial"/>
                <w:i w:val="0"/>
                <w:sz w:val="20"/>
              </w:rPr>
              <w:t>Cosmopolitism</w:t>
            </w:r>
            <w:proofErr w:type="spellEnd"/>
          </w:p>
          <w:p w:rsidR="00E45340" w:rsidRPr="00A670AB" w:rsidRDefault="00E45340" w:rsidP="00E45340">
            <w:pPr>
              <w:pStyle w:val="Tijeloteksta"/>
              <w:rPr>
                <w:rFonts w:ascii="Arial" w:hAnsi="Arial" w:cs="Arial"/>
                <w:i w:val="0"/>
                <w:sz w:val="20"/>
              </w:rPr>
            </w:pPr>
            <w:r w:rsidRPr="00A670AB">
              <w:rPr>
                <w:rFonts w:ascii="Arial" w:hAnsi="Arial" w:cs="Arial"/>
                <w:i w:val="0"/>
                <w:sz w:val="20"/>
              </w:rPr>
              <w:t xml:space="preserve">4.1.3. </w:t>
            </w:r>
            <w:proofErr w:type="spellStart"/>
            <w:r w:rsidRPr="00A670AB">
              <w:rPr>
                <w:rFonts w:ascii="Arial" w:hAnsi="Arial" w:cs="Arial"/>
                <w:i w:val="0"/>
                <w:sz w:val="20"/>
              </w:rPr>
              <w:t>Hybridization</w:t>
            </w:r>
            <w:proofErr w:type="spellEnd"/>
          </w:p>
          <w:p w:rsidR="00E45340" w:rsidRPr="00A670AB" w:rsidRDefault="00E45340" w:rsidP="00E45340">
            <w:pPr>
              <w:pStyle w:val="Tijeloteksta"/>
              <w:rPr>
                <w:rFonts w:ascii="Arial" w:hAnsi="Arial" w:cs="Arial"/>
                <w:i w:val="0"/>
                <w:sz w:val="20"/>
              </w:rPr>
            </w:pPr>
            <w:r w:rsidRPr="00A670AB">
              <w:rPr>
                <w:rFonts w:ascii="Arial" w:hAnsi="Arial" w:cs="Arial"/>
                <w:i w:val="0"/>
                <w:sz w:val="20"/>
              </w:rPr>
              <w:t xml:space="preserve">4.2. </w:t>
            </w:r>
            <w:proofErr w:type="spellStart"/>
            <w:r w:rsidRPr="00A670AB">
              <w:rPr>
                <w:rFonts w:ascii="Arial" w:hAnsi="Arial" w:cs="Arial"/>
                <w:i w:val="0"/>
                <w:sz w:val="20"/>
              </w:rPr>
              <w:t>Glocalization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4.3.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society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4.4.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first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third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modernization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4.5.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security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4.5.1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Peace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4.5.2.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ecology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4.5.3. Financial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stability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4.5.3.1.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Crisis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neoliberal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>4.5.4. (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)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employment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4.5.4.1. Transfer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capital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production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4.5.4.2.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Working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conditions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lastRenderedPageBreak/>
              <w:t xml:space="preserve">4.5.4.3.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Fordism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postfordism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4.6.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Justice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4.6.1. Pozitive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negative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effects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4.6.2.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Country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stratification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4.6.3.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winners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loosers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4.6.4.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Measuring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553E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4.6.5.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stratification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4.6.6.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Gender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stratification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4.6.7.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stratifications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5.</w:t>
            </w:r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of</w:t>
            </w:r>
            <w:proofErr w:type="spellEnd"/>
            <w:r w:rsidR="00553E0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culture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5.1.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Cultural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pluralism</w:t>
            </w:r>
            <w:proofErr w:type="spellEnd"/>
            <w:r w:rsidR="00553E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monocultural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paradigm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5.2.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Cultural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hegemony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cultural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imperialism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>5.2.1. Anglo-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saxon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dominance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5.2.2.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MacDonaldization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Cocacolaization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– CNN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McWorld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5.3.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553E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cultures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5.3.1.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Cultural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glocalization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(R.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Robertson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5.4.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Cultural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identities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5.5.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Multiculturalism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interculturalism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transculturalism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5.5.1.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Models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intercultural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exchange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(A,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Henrikson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9.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different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types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fragmentation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: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anti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-globalist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resistance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>9.1.</w:t>
            </w:r>
            <w:r w:rsidR="00553E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Neo-conservative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radical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populist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resistance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parties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movements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>9.2.</w:t>
            </w:r>
            <w:r w:rsidR="00553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70AB">
              <w:rPr>
                <w:rFonts w:ascii="Arial" w:hAnsi="Arial" w:cs="Arial"/>
                <w:sz w:val="20"/>
                <w:szCs w:val="20"/>
              </w:rPr>
              <w:t xml:space="preserve">Regionalist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resistance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: regionalist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parties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movements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>9.3.</w:t>
            </w:r>
            <w:r w:rsidR="00553E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Leftist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resistance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9.4.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Ecologist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resistance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9.5. Black,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green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red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protectionism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(U.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Beck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10.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Humanization</w:t>
            </w:r>
            <w:proofErr w:type="spellEnd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of</w:t>
            </w:r>
            <w:proofErr w:type="spellEnd"/>
            <w:r w:rsidR="00553E0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b/>
                <w:i/>
                <w:sz w:val="20"/>
                <w:szCs w:val="20"/>
              </w:rPr>
              <w:t>Globalization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10.1. Normative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aspects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10.2.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Global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Ethic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10.3.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Democratic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control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10.4.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sustainable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development</w:t>
            </w:r>
            <w:r w:rsidR="00553E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10.5.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Redistribution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global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wealth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10.6.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Remaking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world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10.7. Global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governance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10.8.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Dialogue</w:t>
            </w:r>
            <w:proofErr w:type="spellEnd"/>
            <w:r w:rsidR="00553E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553E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civilizations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10.9.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553E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world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religions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10.10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Cross-cultural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philosophy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integrative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thought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</w:p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</w:tr>
      <w:tr w:rsidR="00E45340" w:rsidRPr="00CC6DC3" w:rsidTr="00B21A75">
        <w:trPr>
          <w:trHeight w:val="349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45340" w:rsidRPr="00A670AB" w:rsidRDefault="00E45340" w:rsidP="00E45340">
            <w:pPr>
              <w:numPr>
                <w:ilvl w:val="1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lastRenderedPageBreak/>
              <w:t>Format of instruction:</w:t>
            </w:r>
          </w:p>
        </w:tc>
        <w:tc>
          <w:tcPr>
            <w:tcW w:w="3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A670AB" w:rsidRDefault="00A670AB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FORMCHECKBOX </w:instrText>
            </w:r>
            <w:r w:rsidR="008A67E1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="008A67E1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  <w:r w:rsidR="00E45340"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lectures</w:t>
            </w:r>
          </w:p>
          <w:p w:rsidR="00E45340" w:rsidRPr="00A670AB" w:rsidRDefault="00A670AB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FORMCHECKBOX </w:instrText>
            </w:r>
            <w:r w:rsidR="008A67E1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="008A67E1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  <w:r w:rsidR="00E45340"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seminars and workshops</w:t>
            </w:r>
          </w:p>
          <w:p w:rsidR="00E45340" w:rsidRPr="00A670AB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FORMCHECKBOX </w:instrText>
            </w:r>
            <w:r w:rsidR="008A67E1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="008A67E1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</w:t>
            </w:r>
            <w:r w:rsid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exercises</w:t>
            </w:r>
          </w:p>
          <w:p w:rsidR="00E45340" w:rsidRPr="00A670AB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FORMCHECKBOX </w:instrText>
            </w:r>
            <w:r w:rsidR="008A67E1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="008A67E1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online in entirety</w:t>
            </w:r>
          </w:p>
          <w:p w:rsidR="00E45340" w:rsidRPr="00A670AB" w:rsidRDefault="00A670AB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FORMCHECKBOX </w:instrText>
            </w:r>
            <w:r w:rsidR="008A67E1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="008A67E1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  <w:r w:rsidR="00E45340"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partial e-learning</w:t>
            </w:r>
          </w:p>
          <w:p w:rsidR="00E45340" w:rsidRPr="00A670AB" w:rsidRDefault="00E45340" w:rsidP="00E4534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8A67E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A67E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t xml:space="preserve"> field work</w:t>
            </w:r>
          </w:p>
        </w:tc>
        <w:tc>
          <w:tcPr>
            <w:tcW w:w="37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A670AB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FORMCHECKBOX </w:instrText>
            </w:r>
            <w:r w:rsidR="008A67E1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="008A67E1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  <w:r w:rsidR="00B21A75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independent assignments</w:t>
            </w:r>
          </w:p>
          <w:p w:rsidR="00E45340" w:rsidRPr="00A670AB" w:rsidRDefault="00A670AB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FORMCHECKBOX </w:instrText>
            </w:r>
            <w:r w:rsidR="008A67E1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="008A67E1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  <w:bookmarkEnd w:id="0"/>
            <w:r w:rsidR="00E45340"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multimedia and the internet</w:t>
            </w:r>
          </w:p>
          <w:p w:rsidR="00E45340" w:rsidRPr="00A670AB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FORMCHECKBOX </w:instrText>
            </w:r>
            <w:r w:rsidR="008A67E1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="008A67E1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laboratory</w:t>
            </w:r>
          </w:p>
          <w:p w:rsidR="00E45340" w:rsidRPr="00A670AB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FORMCHECKBOX </w:instrText>
            </w:r>
            <w:r w:rsidR="008A67E1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="008A67E1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  <w:r w:rsidRPr="00A670A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work with mentor</w:t>
            </w:r>
          </w:p>
          <w:p w:rsidR="00E45340" w:rsidRPr="00A670AB" w:rsidRDefault="00E45340" w:rsidP="00E4534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8A67E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A67E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670AB">
              <w:rPr>
                <w:rFonts w:ascii="Arial" w:hAnsi="Arial" w:cs="Arial"/>
                <w:sz w:val="20"/>
                <w:szCs w:val="20"/>
              </w:rPr>
              <w:t>(</w:t>
            </w:r>
            <w:r w:rsidRPr="00A670AB">
              <w:rPr>
                <w:rFonts w:ascii="Arial" w:hAnsi="Arial" w:cs="Arial"/>
                <w:sz w:val="20"/>
                <w:szCs w:val="20"/>
                <w:lang w:val="en-GB"/>
              </w:rPr>
              <w:t>other)</w:t>
            </w:r>
          </w:p>
        </w:tc>
        <w:tc>
          <w:tcPr>
            <w:tcW w:w="5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45340" w:rsidRPr="00A670AB" w:rsidRDefault="00E45340" w:rsidP="00E45340">
            <w:pPr>
              <w:numPr>
                <w:ilvl w:val="1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lastRenderedPageBreak/>
              <w:t>Comments:</w:t>
            </w:r>
          </w:p>
        </w:tc>
      </w:tr>
      <w:tr w:rsidR="00E45340" w:rsidRPr="00CC6DC3" w:rsidTr="00B21A75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E45340" w:rsidP="00E4534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E45340" w:rsidRPr="00CC6DC3" w:rsidTr="00A670AB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45340" w:rsidRPr="00A670AB" w:rsidRDefault="00E45340" w:rsidP="00E45340">
            <w:pPr>
              <w:numPr>
                <w:ilvl w:val="1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lastRenderedPageBreak/>
              <w:t>Student responsibilities</w:t>
            </w:r>
          </w:p>
        </w:tc>
        <w:tc>
          <w:tcPr>
            <w:tcW w:w="124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A670AB" w:rsidRDefault="00E45340" w:rsidP="00E4534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70AB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Recording lectures and participating in discussions.</w:t>
            </w:r>
          </w:p>
        </w:tc>
      </w:tr>
      <w:tr w:rsidR="00E45340" w:rsidRPr="00CC6DC3" w:rsidTr="00B21A75">
        <w:trPr>
          <w:trHeight w:val="196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45340" w:rsidRPr="00A670AB" w:rsidRDefault="00E45340" w:rsidP="00E45340">
            <w:pPr>
              <w:numPr>
                <w:ilvl w:val="1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Monitoring student work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Class attendance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YES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Research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NO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  <w:t>Oral exam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NO</w:t>
            </w:r>
          </w:p>
        </w:tc>
      </w:tr>
      <w:tr w:rsidR="00E45340" w:rsidRPr="00CC6DC3" w:rsidTr="00B21A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Experimental work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NO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Report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(other)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NO</w:t>
            </w:r>
          </w:p>
        </w:tc>
      </w:tr>
      <w:tr w:rsidR="00E45340" w:rsidRPr="00CC6DC3" w:rsidTr="00B21A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Essay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YES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Seminar paper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  <w:t>(other)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NO</w:t>
            </w:r>
          </w:p>
        </w:tc>
      </w:tr>
      <w:tr w:rsidR="00E45340" w:rsidRPr="00CC6DC3" w:rsidTr="00B21A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Preliminary exam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NO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  <w:t>Practical work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NO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(other)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</w:tr>
      <w:tr w:rsidR="00E45340" w:rsidRPr="00CC6DC3" w:rsidTr="00B21A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GB"/>
              </w:rPr>
            </w:pPr>
            <w:r w:rsidRPr="00553E06">
              <w:rPr>
                <w:rFonts w:ascii="Arial" w:hAnsi="Arial" w:cs="Arial"/>
                <w:sz w:val="20"/>
                <w:szCs w:val="20"/>
                <w:lang w:val="en-GB"/>
              </w:rPr>
              <w:t>Project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GB"/>
              </w:rPr>
            </w:pPr>
            <w:r w:rsidRPr="00553E06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Written exam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GB"/>
              </w:rPr>
            </w:pPr>
            <w:r w:rsidRPr="00553E06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ECTS (total)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553E06" w:rsidRDefault="00E45340" w:rsidP="00E4534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553E0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</w:t>
            </w:r>
          </w:p>
        </w:tc>
      </w:tr>
      <w:tr w:rsidR="00E45340" w:rsidRPr="00CC6DC3" w:rsidTr="00A670AB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45340" w:rsidRPr="00A670AB" w:rsidRDefault="00E45340" w:rsidP="00A670AB">
            <w:pPr>
              <w:numPr>
                <w:ilvl w:val="1"/>
                <w:numId w:val="6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Required literature</w:t>
            </w:r>
            <w:r w:rsid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(available in the library</w:t>
            </w:r>
            <w:r w:rsid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and/or via other media)</w:t>
            </w:r>
          </w:p>
        </w:tc>
        <w:tc>
          <w:tcPr>
            <w:tcW w:w="6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45340" w:rsidRPr="00A670AB" w:rsidRDefault="00E45340" w:rsidP="00E45340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45340" w:rsidRPr="00A670AB" w:rsidRDefault="00E45340" w:rsidP="00E45340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Number of copies in the library</w:t>
            </w:r>
          </w:p>
        </w:tc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45340" w:rsidRPr="00A670AB" w:rsidRDefault="00E45340" w:rsidP="00E45340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Availability via other media </w:t>
            </w:r>
          </w:p>
        </w:tc>
      </w:tr>
      <w:tr w:rsidR="00E45340" w:rsidRPr="00CC6DC3" w:rsidTr="00A670AB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E45340" w:rsidP="00A670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>Kukoč, Mislav (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Ed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.) (2011)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Philosophy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, Zagreb :</w:t>
            </w:r>
            <w:r w:rsidR="00A670AB">
              <w:rPr>
                <w:rFonts w:ascii="Arial" w:hAnsi="Arial" w:cs="Arial"/>
                <w:sz w:val="20"/>
                <w:szCs w:val="20"/>
              </w:rPr>
              <w:t xml:space="preserve"> Croatian </w:t>
            </w:r>
            <w:proofErr w:type="spellStart"/>
            <w:r w:rsidR="00A670AB">
              <w:rPr>
                <w:rFonts w:ascii="Arial" w:hAnsi="Arial" w:cs="Arial"/>
                <w:sz w:val="20"/>
                <w:szCs w:val="20"/>
              </w:rPr>
              <w:t>Philosophical</w:t>
            </w:r>
            <w:proofErr w:type="spellEnd"/>
            <w:r w:rsid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70AB">
              <w:rPr>
                <w:rFonts w:ascii="Arial" w:hAnsi="Arial" w:cs="Arial"/>
                <w:sz w:val="20"/>
                <w:szCs w:val="20"/>
              </w:rPr>
              <w:t>Society</w:t>
            </w:r>
            <w:proofErr w:type="spellEnd"/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5F0DEA" w:rsidP="00A670AB">
            <w:pPr>
              <w:tabs>
                <w:tab w:val="left" w:pos="2820"/>
              </w:tabs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EA" w:rsidRPr="00A670AB" w:rsidRDefault="008A67E1" w:rsidP="00A670AB">
            <w:pPr>
              <w:tabs>
                <w:tab w:val="left" w:pos="2820"/>
              </w:tabs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hyperlink r:id="rId8" w:history="1">
              <w:proofErr w:type="spellStart"/>
              <w:r w:rsidR="005F0DEA" w:rsidRPr="00A670AB">
                <w:rPr>
                  <w:rStyle w:val="Hiperveza"/>
                  <w:rFonts w:ascii="Arial" w:hAnsi="Arial" w:cs="Arial"/>
                  <w:sz w:val="20"/>
                  <w:szCs w:val="20"/>
                </w:rPr>
                <w:t>Synthesis</w:t>
              </w:r>
              <w:proofErr w:type="spellEnd"/>
              <w:r w:rsidR="005F0DEA" w:rsidRPr="00A670AB">
                <w:rPr>
                  <w:rStyle w:val="Hiperveza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5F0DEA" w:rsidRPr="00A670AB">
                <w:rPr>
                  <w:rStyle w:val="Hiperveza"/>
                  <w:rFonts w:ascii="Arial" w:hAnsi="Arial" w:cs="Arial"/>
                  <w:sz w:val="20"/>
                  <w:szCs w:val="20"/>
                </w:rPr>
                <w:t>philosophica</w:t>
              </w:r>
              <w:proofErr w:type="spellEnd"/>
            </w:hyperlink>
            <w:r w:rsidR="005F0DEA" w:rsidRPr="00A670AB">
              <w:rPr>
                <w:rFonts w:ascii="Arial" w:hAnsi="Arial" w:cs="Arial"/>
                <w:sz w:val="20"/>
                <w:szCs w:val="20"/>
              </w:rPr>
              <w:t>, Vol. 24 No. 1, 2009.</w:t>
            </w:r>
          </w:p>
          <w:p w:rsidR="00E473E3" w:rsidRPr="00A670AB" w:rsidRDefault="008A67E1" w:rsidP="00A670AB">
            <w:pPr>
              <w:tabs>
                <w:tab w:val="left" w:pos="2820"/>
              </w:tabs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hyperlink r:id="rId9" w:history="1">
              <w:r w:rsidR="00E473E3" w:rsidRPr="00A670AB">
                <w:rPr>
                  <w:rStyle w:val="Hiperveza"/>
                  <w:rFonts w:ascii="Arial" w:hAnsi="Arial" w:cs="Arial"/>
                  <w:sz w:val="20"/>
                  <w:szCs w:val="20"/>
                  <w:lang w:val="en-GB"/>
                </w:rPr>
                <w:t>h</w:t>
              </w:r>
              <w:bookmarkStart w:id="1" w:name="_GoBack"/>
              <w:bookmarkEnd w:id="1"/>
              <w:r w:rsidR="00E473E3" w:rsidRPr="00A670AB">
                <w:rPr>
                  <w:rStyle w:val="Hiperveza"/>
                  <w:rFonts w:ascii="Arial" w:hAnsi="Arial" w:cs="Arial"/>
                  <w:sz w:val="20"/>
                  <w:szCs w:val="20"/>
                  <w:lang w:val="en-GB"/>
                </w:rPr>
                <w:t>ttps://hrcak.srce.hr/index.php?show=toc&amp;id_broj=3442</w:t>
              </w:r>
            </w:hyperlink>
          </w:p>
        </w:tc>
      </w:tr>
      <w:tr w:rsidR="00E45340" w:rsidRPr="00CC6DC3" w:rsidTr="00A670AB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E45340" w:rsidP="00A670AB">
            <w:pPr>
              <w:spacing w:before="40" w:after="40"/>
              <w:outlineLvl w:val="0"/>
              <w:rPr>
                <w:rFonts w:ascii="Arial" w:hAnsi="Arial" w:cs="Arial"/>
                <w:bCs/>
                <w:i/>
                <w:color w:val="000000"/>
                <w:kern w:val="36"/>
                <w:sz w:val="20"/>
                <w:szCs w:val="20"/>
                <w:lang w:val="en-US" w:eastAsia="zh-CN"/>
              </w:rPr>
            </w:pPr>
            <w:r w:rsidRPr="00A670AB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Friedman, Thomas L.</w:t>
            </w:r>
            <w:r w:rsidRPr="00A670AB">
              <w:rPr>
                <w:rFonts w:ascii="Arial" w:hAnsi="Arial" w:cs="Arial"/>
                <w:bCs/>
                <w:i/>
                <w:color w:val="000000"/>
                <w:kern w:val="36"/>
                <w:sz w:val="20"/>
                <w:szCs w:val="20"/>
                <w:lang w:val="en-US" w:eastAsia="zh-CN"/>
              </w:rPr>
              <w:t xml:space="preserve"> </w:t>
            </w:r>
            <w:r w:rsidRPr="00A670AB"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val="en-US" w:eastAsia="zh-CN"/>
              </w:rPr>
              <w:t xml:space="preserve">(2005) </w:t>
            </w:r>
            <w:r w:rsidRPr="00A670AB">
              <w:rPr>
                <w:rFonts w:ascii="Arial" w:hAnsi="Arial" w:cs="Arial"/>
                <w:bCs/>
                <w:i/>
                <w:color w:val="000000"/>
                <w:kern w:val="36"/>
                <w:sz w:val="20"/>
                <w:szCs w:val="20"/>
                <w:lang w:val="en-US" w:eastAsia="zh-CN"/>
              </w:rPr>
              <w:t>The World is Flat : A Brief History of the Twenty-First Century</w:t>
            </w:r>
            <w:r w:rsidRPr="00A670AB"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val="en-US" w:eastAsia="zh-CN"/>
              </w:rPr>
              <w:t>,</w:t>
            </w:r>
            <w:r w:rsidR="00553E06"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val="en-US" w:eastAsia="zh-CN"/>
              </w:rPr>
              <w:t xml:space="preserve"> </w:t>
            </w:r>
            <w:r w:rsidRPr="00A670AB"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val="en-US" w:eastAsia="zh-CN"/>
              </w:rPr>
              <w:t>New York: Farrar, Straus and Giroux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E45340" w:rsidP="00A670AB">
            <w:pPr>
              <w:tabs>
                <w:tab w:val="left" w:pos="2820"/>
              </w:tabs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E45340" w:rsidP="00A670AB">
            <w:pPr>
              <w:tabs>
                <w:tab w:val="left" w:pos="2820"/>
              </w:tabs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E45340" w:rsidRPr="00CC6DC3" w:rsidTr="00A670AB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E45340" w:rsidP="00A670A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Küng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Hans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(1997) </w:t>
            </w:r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A Global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Ethic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for Global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Politics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Economics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. London: SCM Press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Ltd</w:t>
            </w:r>
            <w:proofErr w:type="spellEnd"/>
            <w:r w:rsidR="00553E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E45340" w:rsidP="00A670AB">
            <w:pPr>
              <w:tabs>
                <w:tab w:val="left" w:pos="2820"/>
              </w:tabs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E45340" w:rsidP="00A670AB">
            <w:pPr>
              <w:tabs>
                <w:tab w:val="left" w:pos="2820"/>
              </w:tabs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E45340" w:rsidRPr="00CC6DC3" w:rsidTr="00A670AB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E45340" w:rsidP="00A670A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Robertson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Roland (1992)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Social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Theory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Global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Culture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. London: Sage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E45340" w:rsidP="00A670AB">
            <w:pPr>
              <w:tabs>
                <w:tab w:val="left" w:pos="2820"/>
              </w:tabs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E45340" w:rsidP="00A670AB">
            <w:pPr>
              <w:tabs>
                <w:tab w:val="left" w:pos="2820"/>
              </w:tabs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E45340" w:rsidRPr="00CC6DC3" w:rsidTr="00A670AB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E45340" w:rsidP="00A670A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Robertson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Roland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Scholte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,</w:t>
            </w:r>
            <w:r w:rsidR="00553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70AB">
              <w:rPr>
                <w:rFonts w:ascii="Arial" w:hAnsi="Arial" w:cs="Arial"/>
                <w:sz w:val="20"/>
                <w:szCs w:val="20"/>
              </w:rPr>
              <w:t xml:space="preserve">Jan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Aart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Eds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.) (2006)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Encyclopedia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I-IV, London :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Routledge</w:t>
            </w:r>
            <w:proofErr w:type="spellEnd"/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E45340" w:rsidP="00A670AB">
            <w:pPr>
              <w:tabs>
                <w:tab w:val="left" w:pos="2820"/>
              </w:tabs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E45340" w:rsidP="00A670AB">
            <w:pPr>
              <w:tabs>
                <w:tab w:val="left" w:pos="2820"/>
              </w:tabs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E45340" w:rsidRPr="00CC6DC3" w:rsidTr="00A670AB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0" w:rsidRPr="00A670AB" w:rsidRDefault="00E45340" w:rsidP="00E453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E45340" w:rsidP="00A670A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Scholte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,</w:t>
            </w:r>
            <w:r w:rsidR="00553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70AB">
              <w:rPr>
                <w:rFonts w:ascii="Arial" w:hAnsi="Arial" w:cs="Arial"/>
                <w:sz w:val="20"/>
                <w:szCs w:val="20"/>
              </w:rPr>
              <w:t xml:space="preserve">Jan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Aart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(2000)</w:t>
            </w:r>
            <w:r w:rsidR="00553E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iCs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a </w:t>
            </w:r>
            <w:proofErr w:type="spellStart"/>
            <w:r w:rsidRPr="00A670AB">
              <w:rPr>
                <w:rFonts w:ascii="Arial" w:hAnsi="Arial" w:cs="Arial"/>
                <w:i/>
                <w:iCs/>
                <w:sz w:val="20"/>
                <w:szCs w:val="20"/>
              </w:rPr>
              <w:t>critical</w:t>
            </w:r>
            <w:proofErr w:type="spellEnd"/>
            <w:r w:rsidRPr="00A670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iCs/>
                <w:sz w:val="20"/>
                <w:szCs w:val="20"/>
              </w:rPr>
              <w:t>introduction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. New York: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Palgrave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E45340" w:rsidP="00A670AB">
            <w:pPr>
              <w:tabs>
                <w:tab w:val="left" w:pos="2820"/>
              </w:tabs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E45340" w:rsidP="00A670AB">
            <w:pPr>
              <w:tabs>
                <w:tab w:val="left" w:pos="2820"/>
              </w:tabs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E45340" w:rsidRPr="00CC6DC3" w:rsidTr="00A670AB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45340" w:rsidRPr="00A670AB" w:rsidRDefault="00E45340" w:rsidP="00A670AB">
            <w:pPr>
              <w:numPr>
                <w:ilvl w:val="1"/>
                <w:numId w:val="6"/>
              </w:num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Optional literature</w:t>
            </w:r>
            <w:r w:rsid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A670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(name the title)</w:t>
            </w:r>
          </w:p>
        </w:tc>
        <w:tc>
          <w:tcPr>
            <w:tcW w:w="124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0" w:rsidRPr="00A670AB" w:rsidRDefault="00E45340" w:rsidP="00A670AB">
            <w:pPr>
              <w:spacing w:before="40" w:after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Huntington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Samuel P. (1996)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Clash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Civilizations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Remaking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World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Order</w:t>
            </w:r>
            <w:proofErr w:type="spellEnd"/>
            <w:r w:rsidR="00A670AB">
              <w:rPr>
                <w:rFonts w:ascii="Arial" w:hAnsi="Arial" w:cs="Arial"/>
                <w:iCs/>
                <w:sz w:val="20"/>
                <w:szCs w:val="20"/>
              </w:rPr>
              <w:t xml:space="preserve">. New York: Simon &amp; </w:t>
            </w:r>
            <w:proofErr w:type="spellStart"/>
            <w:r w:rsidR="00A670AB">
              <w:rPr>
                <w:rFonts w:ascii="Arial" w:hAnsi="Arial" w:cs="Arial"/>
                <w:iCs/>
                <w:sz w:val="20"/>
                <w:szCs w:val="20"/>
              </w:rPr>
              <w:t>Schuster</w:t>
            </w:r>
            <w:proofErr w:type="spellEnd"/>
            <w:r w:rsidR="00A670AB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E45340" w:rsidRPr="00A670AB" w:rsidRDefault="00E45340" w:rsidP="00A670A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Kiely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Ray (2005) </w:t>
            </w:r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Empire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in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Age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: US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Hegemony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Neoliberal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Disorder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. London: Pluto Press</w:t>
            </w:r>
          </w:p>
          <w:p w:rsidR="00E45340" w:rsidRPr="00A670AB" w:rsidRDefault="00E45340" w:rsidP="00A670A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>Kukoč, Mislav (2006) „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Democracy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Neo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-liberal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“,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Synthesis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philosophica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42, vol. 21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fasc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. 2,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pp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. 373-383.</w:t>
            </w:r>
          </w:p>
          <w:p w:rsidR="00E45340" w:rsidRPr="00A670AB" w:rsidRDefault="00E45340" w:rsidP="00A670A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AB">
              <w:rPr>
                <w:rFonts w:ascii="Arial" w:hAnsi="Arial" w:cs="Arial"/>
                <w:sz w:val="20"/>
                <w:szCs w:val="20"/>
              </w:rPr>
              <w:t xml:space="preserve">Milardović, A.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Pauković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, D. Vidović, D. (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Ed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.) (2008)</w:t>
            </w:r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Politics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. Zagreb: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Political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Science Research Centre. </w:t>
            </w:r>
          </w:p>
          <w:p w:rsidR="00E45340" w:rsidRPr="00A670AB" w:rsidRDefault="00E45340" w:rsidP="00A670A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Rupert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Mark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(2000)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Ideologies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Contending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visions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of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a New World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Order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. London &amp; New York: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Routledge</w:t>
            </w:r>
            <w:proofErr w:type="spellEnd"/>
          </w:p>
          <w:p w:rsidR="00E45340" w:rsidRPr="00A670AB" w:rsidRDefault="00E45340" w:rsidP="00A670A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Stiglitz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Joseph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(2002)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Globalization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Its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Discontents</w:t>
            </w:r>
            <w:proofErr w:type="spellEnd"/>
            <w:r w:rsidR="00553E06">
              <w:rPr>
                <w:rFonts w:ascii="Arial" w:hAnsi="Arial" w:cs="Arial"/>
                <w:sz w:val="20"/>
                <w:szCs w:val="20"/>
              </w:rPr>
              <w:t>. New York</w:t>
            </w:r>
            <w:r w:rsidRPr="00A670AB">
              <w:rPr>
                <w:rFonts w:ascii="Arial" w:hAnsi="Arial" w:cs="Arial"/>
                <w:sz w:val="20"/>
                <w:szCs w:val="20"/>
              </w:rPr>
              <w:t>: Norton</w:t>
            </w:r>
          </w:p>
          <w:p w:rsidR="00E45340" w:rsidRPr="00A670AB" w:rsidRDefault="00E45340" w:rsidP="00A670A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Senghass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Dieter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(2002)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Clash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within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Civilizations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Coming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to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terms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cultural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conflicts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A670AB">
              <w:rPr>
                <w:rFonts w:ascii="Arial" w:hAnsi="Arial" w:cs="Arial"/>
                <w:sz w:val="20"/>
                <w:szCs w:val="20"/>
              </w:rPr>
              <w:t xml:space="preserve"> London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New York: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Routledge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45340" w:rsidRPr="00A670AB" w:rsidRDefault="00E45340" w:rsidP="00A670A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Wallerstein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Immanuel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(1995)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After</w:t>
            </w:r>
            <w:proofErr w:type="spellEnd"/>
            <w:r w:rsidRPr="00A67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70AB">
              <w:rPr>
                <w:rFonts w:ascii="Arial" w:hAnsi="Arial" w:cs="Arial"/>
                <w:i/>
                <w:sz w:val="20"/>
                <w:szCs w:val="20"/>
              </w:rPr>
              <w:t>Liberalism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. New York: </w:t>
            </w:r>
            <w:proofErr w:type="spellStart"/>
            <w:r w:rsidRPr="00A670A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670AB">
              <w:rPr>
                <w:rFonts w:ascii="Arial" w:hAnsi="Arial" w:cs="Arial"/>
                <w:sz w:val="20"/>
                <w:szCs w:val="20"/>
              </w:rPr>
              <w:t xml:space="preserve"> New Press</w:t>
            </w:r>
          </w:p>
        </w:tc>
      </w:tr>
    </w:tbl>
    <w:p w:rsidR="0076783B" w:rsidRDefault="0076783B"/>
    <w:sectPr w:rsidR="0076783B" w:rsidSect="00A670AB">
      <w:headerReference w:type="default" r:id="rId10"/>
      <w:footerReference w:type="default" r:id="rId11"/>
      <w:pgSz w:w="16838" w:h="11906" w:orient="landscape"/>
      <w:pgMar w:top="992" w:right="851" w:bottom="992" w:left="85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B4" w:rsidRDefault="008B06B4" w:rsidP="001F4DF2">
      <w:pPr>
        <w:spacing w:after="0" w:line="240" w:lineRule="auto"/>
      </w:pPr>
      <w:r>
        <w:separator/>
      </w:r>
    </w:p>
  </w:endnote>
  <w:endnote w:type="continuationSeparator" w:id="0">
    <w:p w:rsidR="008B06B4" w:rsidRDefault="008B06B4" w:rsidP="001F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4D" w:rsidRDefault="008A67E1" w:rsidP="00A670AB">
    <w:pPr>
      <w:pStyle w:val="BasicParagraph"/>
      <w:suppressAutoHyphens/>
      <w:spacing w:line="180" w:lineRule="atLeast"/>
      <w:ind w:left="127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B4" w:rsidRDefault="008B06B4" w:rsidP="001F4DF2">
      <w:pPr>
        <w:spacing w:after="0" w:line="240" w:lineRule="auto"/>
      </w:pPr>
      <w:r>
        <w:separator/>
      </w:r>
    </w:p>
  </w:footnote>
  <w:footnote w:type="continuationSeparator" w:id="0">
    <w:p w:rsidR="008B06B4" w:rsidRDefault="008B06B4" w:rsidP="001F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4D" w:rsidRPr="00A670AB" w:rsidRDefault="00A670AB" w:rsidP="00A670AB">
    <w:pPr>
      <w:pStyle w:val="Zaglavlje"/>
      <w:jc w:val="right"/>
      <w:rPr>
        <w:rFonts w:ascii="Arial" w:hAnsi="Arial" w:cs="Arial"/>
        <w:sz w:val="20"/>
        <w:szCs w:val="20"/>
      </w:rPr>
    </w:pPr>
    <w:proofErr w:type="spellStart"/>
    <w:r w:rsidRPr="00A670AB">
      <w:rPr>
        <w:rFonts w:ascii="Arial" w:hAnsi="Arial" w:cs="Arial"/>
        <w:sz w:val="20"/>
        <w:szCs w:val="20"/>
      </w:rPr>
      <w:t>Philosophy</w:t>
    </w:r>
    <w:proofErr w:type="spellEnd"/>
    <w:r w:rsidRPr="00A670AB">
      <w:rPr>
        <w:rFonts w:ascii="Arial" w:hAnsi="Arial" w:cs="Arial"/>
        <w:sz w:val="20"/>
        <w:szCs w:val="20"/>
      </w:rPr>
      <w:t xml:space="preserve"> </w:t>
    </w:r>
    <w:proofErr w:type="spellStart"/>
    <w:r w:rsidRPr="00A670AB">
      <w:rPr>
        <w:rFonts w:ascii="Arial" w:hAnsi="Arial" w:cs="Arial"/>
        <w:sz w:val="20"/>
        <w:szCs w:val="20"/>
      </w:rPr>
      <w:t>of</w:t>
    </w:r>
    <w:proofErr w:type="spellEnd"/>
    <w:r w:rsidRPr="00A670AB">
      <w:rPr>
        <w:rFonts w:ascii="Arial" w:hAnsi="Arial" w:cs="Arial"/>
        <w:sz w:val="20"/>
        <w:szCs w:val="20"/>
      </w:rPr>
      <w:t xml:space="preserve"> </w:t>
    </w:r>
    <w:proofErr w:type="spellStart"/>
    <w:r w:rsidRPr="00A670AB">
      <w:rPr>
        <w:rFonts w:ascii="Arial" w:hAnsi="Arial" w:cs="Arial"/>
        <w:sz w:val="20"/>
        <w:szCs w:val="20"/>
      </w:rPr>
      <w:t>Globalization</w:t>
    </w:r>
    <w:proofErr w:type="spellEnd"/>
    <w:r w:rsidRPr="00A670AB">
      <w:rPr>
        <w:rFonts w:ascii="Arial" w:hAnsi="Arial" w:cs="Arial"/>
        <w:sz w:val="20"/>
        <w:szCs w:val="20"/>
      </w:rPr>
      <w:t xml:space="preserve">, </w:t>
    </w:r>
    <w:sdt>
      <w:sdtPr>
        <w:rPr>
          <w:rFonts w:ascii="Arial" w:hAnsi="Arial" w:cs="Arial"/>
          <w:sz w:val="20"/>
          <w:szCs w:val="20"/>
        </w:rPr>
        <w:id w:val="668559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670AB">
          <w:rPr>
            <w:rFonts w:ascii="Arial" w:hAnsi="Arial" w:cs="Arial"/>
            <w:sz w:val="20"/>
            <w:szCs w:val="20"/>
          </w:rPr>
          <w:fldChar w:fldCharType="begin"/>
        </w:r>
        <w:r w:rsidRPr="00A670A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670AB">
          <w:rPr>
            <w:rFonts w:ascii="Arial" w:hAnsi="Arial" w:cs="Arial"/>
            <w:sz w:val="20"/>
            <w:szCs w:val="20"/>
          </w:rPr>
          <w:fldChar w:fldCharType="separate"/>
        </w:r>
        <w:r w:rsidR="008A67E1">
          <w:rPr>
            <w:rFonts w:ascii="Arial" w:hAnsi="Arial" w:cs="Arial"/>
            <w:noProof/>
            <w:sz w:val="20"/>
            <w:szCs w:val="20"/>
          </w:rPr>
          <w:t>5</w:t>
        </w:r>
        <w:r w:rsidRPr="00A670AB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A64528"/>
    <w:multiLevelType w:val="multilevel"/>
    <w:tmpl w:val="B8E012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0CF69EB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9F1D67"/>
    <w:multiLevelType w:val="hybridMultilevel"/>
    <w:tmpl w:val="AC7C8A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EB"/>
    <w:rsid w:val="00092E04"/>
    <w:rsid w:val="0009590C"/>
    <w:rsid w:val="001931B3"/>
    <w:rsid w:val="001F4DF2"/>
    <w:rsid w:val="002D2C92"/>
    <w:rsid w:val="002E723E"/>
    <w:rsid w:val="00305F15"/>
    <w:rsid w:val="00360D69"/>
    <w:rsid w:val="003C3C8D"/>
    <w:rsid w:val="003E0C25"/>
    <w:rsid w:val="00467103"/>
    <w:rsid w:val="0053670E"/>
    <w:rsid w:val="00553E06"/>
    <w:rsid w:val="005F0DEA"/>
    <w:rsid w:val="00681BBF"/>
    <w:rsid w:val="0076783B"/>
    <w:rsid w:val="007D5E56"/>
    <w:rsid w:val="008050EB"/>
    <w:rsid w:val="008A67E1"/>
    <w:rsid w:val="008B06B4"/>
    <w:rsid w:val="008E2FF6"/>
    <w:rsid w:val="00900B64"/>
    <w:rsid w:val="009027C9"/>
    <w:rsid w:val="00920D85"/>
    <w:rsid w:val="00A27581"/>
    <w:rsid w:val="00A670AB"/>
    <w:rsid w:val="00AA13C9"/>
    <w:rsid w:val="00AD01B6"/>
    <w:rsid w:val="00B059CF"/>
    <w:rsid w:val="00B21A75"/>
    <w:rsid w:val="00B70807"/>
    <w:rsid w:val="00B73B3A"/>
    <w:rsid w:val="00B90647"/>
    <w:rsid w:val="00C748EB"/>
    <w:rsid w:val="00CB6221"/>
    <w:rsid w:val="00D7217C"/>
    <w:rsid w:val="00E049B5"/>
    <w:rsid w:val="00E45340"/>
    <w:rsid w:val="00E473E3"/>
    <w:rsid w:val="00F57540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D71804"/>
  <w15:docId w15:val="{9D62F1BC-ACF5-4826-BA34-5F2B3B72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EB"/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uiPriority w:val="9"/>
    <w:qFormat/>
    <w:rsid w:val="005F0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0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50E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0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50EB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locked/>
    <w:rsid w:val="008050E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paragraph" w:customStyle="1" w:styleId="FieldText">
    <w:name w:val="Field Text"/>
    <w:basedOn w:val="Normal"/>
    <w:rsid w:val="008050EB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character" w:styleId="Brojstranice">
    <w:name w:val="page number"/>
    <w:basedOn w:val="Zadanifontodlomka"/>
    <w:rsid w:val="008050EB"/>
  </w:style>
  <w:style w:type="character" w:customStyle="1" w:styleId="alt-edited">
    <w:name w:val="alt-edited"/>
    <w:basedOn w:val="Zadanifontodlomka"/>
    <w:rsid w:val="008050EB"/>
  </w:style>
  <w:style w:type="character" w:customStyle="1" w:styleId="shorttext">
    <w:name w:val="short_text"/>
    <w:basedOn w:val="Zadanifontodlomka"/>
    <w:rsid w:val="00AD01B6"/>
  </w:style>
  <w:style w:type="paragraph" w:customStyle="1" w:styleId="Default">
    <w:name w:val="Default"/>
    <w:rsid w:val="00CB6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CB6221"/>
    <w:pPr>
      <w:spacing w:line="199" w:lineRule="atLeast"/>
    </w:pPr>
    <w:rPr>
      <w:color w:val="auto"/>
    </w:rPr>
  </w:style>
  <w:style w:type="character" w:customStyle="1" w:styleId="tlid-translation">
    <w:name w:val="tlid-translation"/>
    <w:basedOn w:val="Zadanifontodlomka"/>
    <w:rsid w:val="00092E04"/>
  </w:style>
  <w:style w:type="paragraph" w:styleId="Odlomakpopisa">
    <w:name w:val="List Paragraph"/>
    <w:basedOn w:val="Normal"/>
    <w:uiPriority w:val="34"/>
    <w:qFormat/>
    <w:rsid w:val="00920D85"/>
    <w:pPr>
      <w:ind w:left="720"/>
      <w:contextualSpacing/>
    </w:pPr>
  </w:style>
  <w:style w:type="paragraph" w:styleId="Tijeloteksta">
    <w:name w:val="Body Text"/>
    <w:basedOn w:val="Normal"/>
    <w:link w:val="TijelotekstaChar"/>
    <w:rsid w:val="00E45340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45340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5F0DEA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F0DE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cak.srce.hr/synthesis-philosoph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rcak.srce.hr/index.php?show=toc&amp;id_broj=3442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BB8C0-F498-4BB7-B5B4-270DD6C3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Petar</cp:lastModifiedBy>
  <cp:revision>7</cp:revision>
  <dcterms:created xsi:type="dcterms:W3CDTF">2020-06-08T13:33:00Z</dcterms:created>
  <dcterms:modified xsi:type="dcterms:W3CDTF">2020-06-15T13:34:00Z</dcterms:modified>
</cp:coreProperties>
</file>